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D1A9" w14:textId="77777777" w:rsidR="00BB0978" w:rsidRPr="00733486" w:rsidRDefault="00BB0978" w:rsidP="00BD3E07">
      <w:pPr>
        <w:spacing w:after="0" w:line="336" w:lineRule="auto"/>
        <w:ind w:right="-58" w:firstLine="0"/>
        <w:jc w:val="center"/>
        <w:rPr>
          <w:rFonts w:ascii="Times New Roman" w:hAnsi="Times New Roman" w:cs="Times New Roman"/>
          <w:b/>
          <w:sz w:val="26"/>
          <w:szCs w:val="26"/>
          <w:lang w:val="pt-BR"/>
        </w:rPr>
      </w:pPr>
      <w:r w:rsidRPr="00733486">
        <w:rPr>
          <w:rFonts w:ascii="Times New Roman" w:hAnsi="Times New Roman" w:cs="Times New Roman"/>
          <w:b/>
          <w:sz w:val="26"/>
          <w:szCs w:val="26"/>
          <w:lang w:val="pt-BR"/>
        </w:rPr>
        <w:t>BÁO CÁO</w:t>
      </w:r>
    </w:p>
    <w:p w14:paraId="034F1CA3" w14:textId="77777777" w:rsidR="00BB0978" w:rsidRPr="00733486" w:rsidRDefault="00BB0978" w:rsidP="00BD3E07">
      <w:pPr>
        <w:spacing w:after="0" w:line="336" w:lineRule="auto"/>
        <w:ind w:right="-58" w:firstLine="0"/>
        <w:jc w:val="center"/>
        <w:rPr>
          <w:rFonts w:ascii="Times New Roman" w:hAnsi="Times New Roman" w:cs="Times New Roman"/>
          <w:b/>
          <w:sz w:val="26"/>
          <w:szCs w:val="26"/>
          <w:lang w:val="pt-BR"/>
        </w:rPr>
      </w:pPr>
      <w:r w:rsidRPr="00733486">
        <w:rPr>
          <w:rFonts w:ascii="Times New Roman" w:hAnsi="Times New Roman" w:cs="Times New Roman"/>
          <w:b/>
          <w:sz w:val="26"/>
          <w:szCs w:val="26"/>
          <w:lang w:val="pt-BR"/>
        </w:rPr>
        <w:t xml:space="preserve">ĐÁNH GIÁ DIỄN BIẾN THỊ TRƯỜNG NHÂN CÔNG XÂY DỰNG </w:t>
      </w:r>
    </w:p>
    <w:p w14:paraId="0D0A3D55" w14:textId="7D3A99AC" w:rsidR="00BB0978" w:rsidRPr="00733486" w:rsidRDefault="00BB0978" w:rsidP="00BD3E07">
      <w:pPr>
        <w:spacing w:after="0" w:line="336" w:lineRule="auto"/>
        <w:ind w:right="-58" w:firstLine="0"/>
        <w:jc w:val="center"/>
        <w:rPr>
          <w:rFonts w:ascii="Times New Roman" w:hAnsi="Times New Roman" w:cs="Times New Roman"/>
          <w:b/>
          <w:sz w:val="26"/>
          <w:szCs w:val="26"/>
          <w:lang w:val="pt-BR"/>
        </w:rPr>
      </w:pPr>
      <w:r w:rsidRPr="00733486">
        <w:rPr>
          <w:rFonts w:ascii="Times New Roman" w:hAnsi="Times New Roman" w:cs="Times New Roman"/>
          <w:b/>
          <w:sz w:val="26"/>
          <w:szCs w:val="26"/>
          <w:lang w:val="pt-BR"/>
        </w:rPr>
        <w:t xml:space="preserve">6 THÁNG </w:t>
      </w:r>
      <w:r w:rsidR="00314AC2" w:rsidRPr="00733486">
        <w:rPr>
          <w:rFonts w:ascii="Times New Roman" w:hAnsi="Times New Roman" w:cs="Times New Roman"/>
          <w:b/>
          <w:sz w:val="26"/>
          <w:szCs w:val="26"/>
          <w:lang w:val="pt-BR"/>
        </w:rPr>
        <w:t>ĐẦU</w:t>
      </w:r>
      <w:r w:rsidRPr="00733486">
        <w:rPr>
          <w:rFonts w:ascii="Times New Roman" w:hAnsi="Times New Roman" w:cs="Times New Roman"/>
          <w:b/>
          <w:sz w:val="26"/>
          <w:szCs w:val="26"/>
          <w:lang w:val="pt-BR"/>
        </w:rPr>
        <w:t xml:space="preserve"> NĂM </w:t>
      </w:r>
      <w:r w:rsidR="00314AC2" w:rsidRPr="00733486">
        <w:rPr>
          <w:rFonts w:ascii="Times New Roman" w:hAnsi="Times New Roman" w:cs="Times New Roman"/>
          <w:b/>
          <w:sz w:val="26"/>
          <w:szCs w:val="26"/>
          <w:lang w:val="pt-BR"/>
        </w:rPr>
        <w:t>2023</w:t>
      </w:r>
    </w:p>
    <w:p w14:paraId="5CDFAE7C" w14:textId="4C265252" w:rsidR="00BB0978" w:rsidRPr="00733486" w:rsidRDefault="006963A0" w:rsidP="00BD3E07">
      <w:pPr>
        <w:spacing w:after="0" w:line="336" w:lineRule="auto"/>
        <w:ind w:hanging="142"/>
        <w:jc w:val="center"/>
        <w:rPr>
          <w:rFonts w:ascii="Times New Roman" w:hAnsi="Times New Roman" w:cs="Times New Roman"/>
          <w:sz w:val="26"/>
          <w:szCs w:val="26"/>
        </w:rPr>
      </w:pPr>
      <w:r w:rsidRPr="0073348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67EC0D7" wp14:editId="05A48AF4">
                <wp:simplePos x="0" y="0"/>
                <wp:positionH relativeFrom="page">
                  <wp:posOffset>2390775</wp:posOffset>
                </wp:positionH>
                <wp:positionV relativeFrom="paragraph">
                  <wp:posOffset>36830</wp:posOffset>
                </wp:positionV>
                <wp:extent cx="3111500" cy="45085"/>
                <wp:effectExtent l="19050" t="19050" r="31750" b="3111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1500" cy="45085"/>
                        </a:xfrm>
                        <a:prstGeom prst="straightConnector1">
                          <a:avLst/>
                        </a:prstGeom>
                        <a:noFill/>
                        <a:ln w="3810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4BB9F7" id="_x0000_t32" coordsize="21600,21600" o:spt="32" o:oned="t" path="m,l21600,21600e" filled="f">
                <v:path arrowok="t" fillok="f" o:connecttype="none"/>
                <o:lock v:ext="edit" shapetype="t"/>
              </v:shapetype>
              <v:shape id="AutoShape 20" o:spid="_x0000_s1026" type="#_x0000_t32" style="position:absolute;margin-left:188.25pt;margin-top:2.9pt;width:245pt;height:3.55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" strokecolor="#548dd4" strokeweight="3pt">
                <v:shadow color="#7f7f7f" opacity=".5" offset="1pt"/>
                <w10:wrap anchorx="page"/>
              </v:shape>
            </w:pict>
          </mc:Fallback>
        </mc:AlternateContent>
      </w:r>
    </w:p>
    <w:p w14:paraId="0C35BC42" w14:textId="35A33EA6" w:rsidR="00BB0978" w:rsidRPr="00733486" w:rsidRDefault="00BB0978" w:rsidP="00BD3E07">
      <w:pPr>
        <w:spacing w:after="0" w:line="336" w:lineRule="auto"/>
        <w:ind w:right="85" w:firstLine="0"/>
        <w:jc w:val="center"/>
        <w:rPr>
          <w:rFonts w:ascii="Times New Roman" w:hAnsi="Times New Roman" w:cs="Times New Roman"/>
          <w:sz w:val="26"/>
          <w:szCs w:val="26"/>
        </w:rPr>
      </w:pPr>
      <w:r w:rsidRPr="00733486">
        <w:rPr>
          <w:rFonts w:ascii="Times New Roman" w:hAnsi="Times New Roman" w:cs="Times New Roman"/>
          <w:sz w:val="26"/>
          <w:szCs w:val="26"/>
        </w:rPr>
        <w:t xml:space="preserve">(Kèm theo công văn số </w:t>
      </w:r>
      <w:r w:rsidR="002746DE" w:rsidRPr="00733486">
        <w:rPr>
          <w:rFonts w:ascii="Times New Roman" w:hAnsi="Times New Roman" w:cs="Times New Roman"/>
          <w:sz w:val="26"/>
          <w:szCs w:val="26"/>
        </w:rPr>
        <w:t>1319</w:t>
      </w:r>
      <w:r w:rsidRPr="00733486">
        <w:rPr>
          <w:rFonts w:ascii="Times New Roman" w:hAnsi="Times New Roman" w:cs="Times New Roman"/>
          <w:sz w:val="26"/>
          <w:szCs w:val="26"/>
        </w:rPr>
        <w:t>/VKT-GXD ngày</w:t>
      </w:r>
      <w:r w:rsidR="00314AC2" w:rsidRPr="00733486">
        <w:rPr>
          <w:rFonts w:ascii="Times New Roman" w:hAnsi="Times New Roman" w:cs="Times New Roman"/>
          <w:sz w:val="26"/>
          <w:szCs w:val="26"/>
        </w:rPr>
        <w:t xml:space="preserve"> </w:t>
      </w:r>
      <w:r w:rsidR="002746DE" w:rsidRPr="00733486">
        <w:rPr>
          <w:rFonts w:ascii="Times New Roman" w:hAnsi="Times New Roman" w:cs="Times New Roman"/>
          <w:sz w:val="26"/>
          <w:szCs w:val="26"/>
        </w:rPr>
        <w:t>15</w:t>
      </w:r>
      <w:r w:rsidR="00314AC2" w:rsidRPr="00733486">
        <w:rPr>
          <w:rFonts w:ascii="Times New Roman" w:hAnsi="Times New Roman" w:cs="Times New Roman"/>
          <w:sz w:val="26"/>
          <w:szCs w:val="26"/>
        </w:rPr>
        <w:t>/6/2023</w:t>
      </w:r>
      <w:r w:rsidRPr="00733486">
        <w:rPr>
          <w:rFonts w:ascii="Times New Roman" w:hAnsi="Times New Roman" w:cs="Times New Roman"/>
          <w:sz w:val="26"/>
          <w:szCs w:val="26"/>
        </w:rPr>
        <w:t xml:space="preserve"> của Viện Kinh tế xây dựng)</w:t>
      </w:r>
    </w:p>
    <w:p w14:paraId="0483E5C7" w14:textId="6C14473F" w:rsidR="00BB0978" w:rsidRPr="00733486" w:rsidRDefault="00BB0978" w:rsidP="00BD3E07">
      <w:pPr>
        <w:spacing w:after="0" w:line="336" w:lineRule="auto"/>
        <w:ind w:right="227" w:firstLine="0"/>
        <w:rPr>
          <w:rFonts w:ascii="Times New Roman" w:hAnsi="Times New Roman" w:cs="Times New Roman"/>
          <w:b/>
          <w:sz w:val="26"/>
          <w:szCs w:val="26"/>
          <w:lang w:val="pt-BR"/>
        </w:rPr>
      </w:pPr>
      <w:r w:rsidRPr="00733486">
        <w:rPr>
          <w:rFonts w:ascii="Times New Roman" w:hAnsi="Times New Roman" w:cs="Times New Roman"/>
          <w:b/>
          <w:sz w:val="26"/>
          <w:szCs w:val="26"/>
          <w:lang w:val="pt-BR"/>
        </w:rPr>
        <w:t xml:space="preserve">I.  Tổng quan về tình hình kinh tế 6 tháng </w:t>
      </w:r>
      <w:r w:rsidR="00314AC2" w:rsidRPr="00733486">
        <w:rPr>
          <w:rFonts w:ascii="Times New Roman" w:hAnsi="Times New Roman" w:cs="Times New Roman"/>
          <w:b/>
          <w:sz w:val="26"/>
          <w:szCs w:val="26"/>
          <w:lang w:val="pt-BR"/>
        </w:rPr>
        <w:t>đầu</w:t>
      </w:r>
      <w:r w:rsidRPr="00733486">
        <w:rPr>
          <w:rFonts w:ascii="Times New Roman" w:hAnsi="Times New Roman" w:cs="Times New Roman"/>
          <w:b/>
          <w:sz w:val="26"/>
          <w:szCs w:val="26"/>
          <w:lang w:val="pt-BR"/>
        </w:rPr>
        <w:t xml:space="preserve"> năm 202</w:t>
      </w:r>
      <w:r w:rsidR="00314AC2" w:rsidRPr="00733486">
        <w:rPr>
          <w:rFonts w:ascii="Times New Roman" w:hAnsi="Times New Roman" w:cs="Times New Roman"/>
          <w:b/>
          <w:sz w:val="26"/>
          <w:szCs w:val="26"/>
          <w:lang w:val="pt-BR"/>
        </w:rPr>
        <w:t>3</w:t>
      </w:r>
    </w:p>
    <w:p w14:paraId="61A66422" w14:textId="0BA24861" w:rsidR="00DD37DC" w:rsidRPr="00733486" w:rsidRDefault="003930A2" w:rsidP="00BD3E07">
      <w:pPr>
        <w:spacing w:after="0" w:line="336" w:lineRule="auto"/>
        <w:ind w:right="-2" w:firstLine="567"/>
        <w:rPr>
          <w:rFonts w:ascii="Times New Roman" w:hAnsi="Times New Roman" w:cs="Times New Roman"/>
          <w:spacing w:val="-2"/>
          <w:sz w:val="26"/>
          <w:szCs w:val="26"/>
          <w:lang w:val="de-DE"/>
        </w:rPr>
      </w:pPr>
      <w:r w:rsidRPr="00733486">
        <w:rPr>
          <w:rFonts w:ascii="Times New Roman" w:hAnsi="Times New Roman" w:cs="Times New Roman"/>
          <w:spacing w:val="-2"/>
          <w:sz w:val="26"/>
          <w:szCs w:val="26"/>
          <w:lang w:val="de-DE"/>
        </w:rPr>
        <w:t xml:space="preserve">Trước những khó khăn, biến động </w:t>
      </w:r>
      <w:r w:rsidR="00DD37DC" w:rsidRPr="00733486">
        <w:rPr>
          <w:rFonts w:ascii="Times New Roman" w:hAnsi="Times New Roman" w:cs="Times New Roman"/>
          <w:spacing w:val="-2"/>
          <w:sz w:val="26"/>
          <w:szCs w:val="26"/>
          <w:lang w:val="de-DE"/>
        </w:rPr>
        <w:t>của nền kinh tế thế giới như lạm phát cao, lãi su</w:t>
      </w:r>
      <w:r w:rsidR="00A03547" w:rsidRPr="00733486">
        <w:rPr>
          <w:rFonts w:ascii="Times New Roman" w:hAnsi="Times New Roman" w:cs="Times New Roman"/>
          <w:spacing w:val="-2"/>
          <w:sz w:val="26"/>
          <w:szCs w:val="26"/>
          <w:lang w:val="de-DE"/>
        </w:rPr>
        <w:t>ấ</w:t>
      </w:r>
      <w:r w:rsidR="00DD37DC" w:rsidRPr="00733486">
        <w:rPr>
          <w:rFonts w:ascii="Times New Roman" w:hAnsi="Times New Roman" w:cs="Times New Roman"/>
          <w:spacing w:val="-2"/>
          <w:sz w:val="26"/>
          <w:szCs w:val="26"/>
          <w:lang w:val="de-DE"/>
        </w:rPr>
        <w:t>t tăng và tăng trưởng chậm, Chính phủ, Thủ tướng Chính phủ sát sao chỉ đạo các Bộ, ngành, địa phương tập trung thực hiện</w:t>
      </w:r>
      <w:r w:rsidR="00A03547" w:rsidRPr="00733486">
        <w:rPr>
          <w:rFonts w:ascii="Times New Roman" w:hAnsi="Times New Roman" w:cs="Times New Roman"/>
          <w:spacing w:val="-2"/>
          <w:sz w:val="26"/>
          <w:szCs w:val="26"/>
          <w:lang w:val="de-DE"/>
        </w:rPr>
        <w:t xml:space="preserve"> các nhiệm vụ, chính sách để </w:t>
      </w:r>
      <w:r w:rsidR="00A03547" w:rsidRPr="00733486">
        <w:rPr>
          <w:rFonts w:ascii="Times New Roman" w:hAnsi="Times New Roman" w:cs="Times New Roman"/>
          <w:sz w:val="26"/>
          <w:szCs w:val="26"/>
          <w:lang w:val="pl-PL"/>
        </w:rPr>
        <w:t xml:space="preserve">phát triển kinh tế </w:t>
      </w:r>
      <w:r w:rsidR="00A03547" w:rsidRPr="00733486">
        <w:rPr>
          <w:rFonts w:ascii="Times New Roman" w:hAnsi="Times New Roman" w:cs="Times New Roman"/>
          <w:sz w:val="26"/>
          <w:szCs w:val="26"/>
          <w:lang w:val="de-DE"/>
        </w:rPr>
        <w:t xml:space="preserve">theo mục </w:t>
      </w:r>
      <w:r w:rsidR="00A03547" w:rsidRPr="00733486">
        <w:rPr>
          <w:rFonts w:ascii="Times New Roman" w:hAnsi="Times New Roman" w:cs="Times New Roman"/>
          <w:spacing w:val="-2"/>
          <w:sz w:val="26"/>
          <w:szCs w:val="26"/>
          <w:lang w:val="de-DE"/>
        </w:rPr>
        <w:t>tiêu đã đề ra. Cùng với sự đồng lòng của các cấp, các doanh nghiệp</w:t>
      </w:r>
      <w:r w:rsidR="00AB6C6E">
        <w:rPr>
          <w:rFonts w:ascii="Times New Roman" w:hAnsi="Times New Roman" w:cs="Times New Roman"/>
          <w:spacing w:val="-2"/>
          <w:sz w:val="26"/>
          <w:szCs w:val="26"/>
          <w:lang w:val="de-DE"/>
        </w:rPr>
        <w:t xml:space="preserve"> và</w:t>
      </w:r>
      <w:r w:rsidR="00A03547" w:rsidRPr="00733486">
        <w:rPr>
          <w:rFonts w:ascii="Times New Roman" w:hAnsi="Times New Roman" w:cs="Times New Roman"/>
          <w:spacing w:val="-2"/>
          <w:sz w:val="26"/>
          <w:szCs w:val="26"/>
          <w:lang w:val="de-DE"/>
        </w:rPr>
        <w:t xml:space="preserve"> người dân là yếu tố quan trọng giúp nền kinh tế nước ta vượt qua những khó khăn, thách thức. Kinh tế - xã hội nước ta trong 6 tháng đầu năm 2023 đã đạt được những kết quả tích cực, kinh tế vĩ mô ổn định, lạm phát được kiểm soát ở mức phù hợp</w:t>
      </w:r>
      <w:r w:rsidR="0060386B" w:rsidRPr="00733486">
        <w:rPr>
          <w:rFonts w:ascii="Times New Roman" w:hAnsi="Times New Roman" w:cs="Times New Roman"/>
          <w:spacing w:val="-2"/>
          <w:sz w:val="26"/>
          <w:szCs w:val="26"/>
          <w:lang w:val="de-DE"/>
        </w:rPr>
        <w:t>.</w:t>
      </w:r>
    </w:p>
    <w:p w14:paraId="2E593798" w14:textId="7AAB99E3" w:rsidR="0060386B" w:rsidRPr="00733486" w:rsidRDefault="00A8108E" w:rsidP="00BD3E07">
      <w:pPr>
        <w:spacing w:after="0" w:line="336" w:lineRule="auto"/>
        <w:ind w:right="-2" w:firstLine="567"/>
        <w:rPr>
          <w:rFonts w:ascii="Times New Roman" w:hAnsi="Times New Roman" w:cs="Times New Roman"/>
          <w:spacing w:val="-2"/>
          <w:sz w:val="26"/>
          <w:szCs w:val="26"/>
          <w:lang w:val="de-DE"/>
        </w:rPr>
      </w:pPr>
      <w:r w:rsidRPr="00733486">
        <w:rPr>
          <w:rFonts w:ascii="Times New Roman" w:hAnsi="Times New Roman" w:cs="Times New Roman"/>
          <w:spacing w:val="-2"/>
          <w:sz w:val="26"/>
          <w:szCs w:val="26"/>
          <w:lang w:val="de-DE"/>
        </w:rPr>
        <w:t>Tổng sản phẩm trong nước (</w:t>
      </w:r>
      <w:r w:rsidR="0060386B" w:rsidRPr="00733486">
        <w:rPr>
          <w:rFonts w:ascii="Times New Roman" w:hAnsi="Times New Roman" w:cs="Times New Roman"/>
          <w:spacing w:val="-2"/>
          <w:sz w:val="26"/>
          <w:szCs w:val="26"/>
          <w:lang w:val="de-DE"/>
        </w:rPr>
        <w:t>GDP</w:t>
      </w:r>
      <w:r w:rsidRPr="00733486">
        <w:rPr>
          <w:rFonts w:ascii="Times New Roman" w:hAnsi="Times New Roman" w:cs="Times New Roman"/>
          <w:spacing w:val="-2"/>
          <w:sz w:val="26"/>
          <w:szCs w:val="26"/>
          <w:lang w:val="de-DE"/>
        </w:rPr>
        <w:t>)</w:t>
      </w:r>
      <w:r w:rsidR="0060386B" w:rsidRPr="00733486">
        <w:rPr>
          <w:rFonts w:ascii="Times New Roman" w:hAnsi="Times New Roman" w:cs="Times New Roman"/>
          <w:spacing w:val="-2"/>
          <w:sz w:val="26"/>
          <w:szCs w:val="26"/>
          <w:lang w:val="de-DE"/>
        </w:rPr>
        <w:t xml:space="preserve"> 6 tháng đầu năm 2023 tăng 3,72%, chỉ cao hơn tốc độ tăng 1,74% của 6 tháng đầu năm 2020 trong giai đoạn</w:t>
      </w:r>
      <w:r w:rsidRPr="00733486">
        <w:rPr>
          <w:rFonts w:ascii="Times New Roman" w:hAnsi="Times New Roman" w:cs="Times New Roman"/>
          <w:spacing w:val="-2"/>
          <w:sz w:val="26"/>
          <w:szCs w:val="26"/>
          <w:lang w:val="de-DE"/>
        </w:rPr>
        <w:t xml:space="preserve"> 2011-2023. Trong khu vực công nghiệp và xây dựng, giá trị tăng thêm ngành xây dựng 6 tháng đầu năm 2023 tăng 4,74% so với cùng kỳ năm trước, đóng góp 0,31 điểm phần trăm vào tốc độ tăng tổng giá trị tăng thêm toàn nền kinh tế, là mức tăng tương đối thấp, chỉ cao hơn tốc độ tăng 0,07%, 2,54% và 4,19% của cùng kỳ các năm 2011, 2012, 2022 trong giai đoạn 2011-2023.</w:t>
      </w:r>
    </w:p>
    <w:p w14:paraId="0B3104CF" w14:textId="77777777" w:rsidR="003A1BA6" w:rsidRPr="00733486" w:rsidRDefault="003A1BA6" w:rsidP="00BD3E07">
      <w:pPr>
        <w:spacing w:after="0" w:line="336" w:lineRule="auto"/>
        <w:ind w:firstLine="567"/>
        <w:jc w:val="right"/>
        <w:rPr>
          <w:rFonts w:ascii="Times New Roman" w:hAnsi="Times New Roman" w:cs="Times New Roman"/>
          <w:spacing w:val="-2"/>
          <w:sz w:val="26"/>
          <w:szCs w:val="26"/>
          <w:lang w:val="de-DE"/>
        </w:rPr>
      </w:pPr>
      <w:r w:rsidRPr="00733486">
        <w:rPr>
          <w:rFonts w:ascii="Times New Roman" w:hAnsi="Times New Roman" w:cs="Times New Roman"/>
          <w:spacing w:val="-2"/>
          <w:sz w:val="26"/>
          <w:szCs w:val="26"/>
          <w:lang w:val="de-DE"/>
        </w:rPr>
        <w:t>Đơn vị tính: %</w:t>
      </w:r>
    </w:p>
    <w:p w14:paraId="2B193E81" w14:textId="48CF5E01" w:rsidR="00C01435" w:rsidRPr="00733486" w:rsidRDefault="00054824" w:rsidP="00BD3E07">
      <w:pPr>
        <w:spacing w:after="0" w:line="336" w:lineRule="auto"/>
        <w:ind w:firstLine="0"/>
        <w:jc w:val="right"/>
        <w:rPr>
          <w:rFonts w:ascii="Times New Roman" w:hAnsi="Times New Roman" w:cs="Times New Roman"/>
          <w:spacing w:val="-2"/>
          <w:sz w:val="26"/>
          <w:szCs w:val="26"/>
          <w:lang w:val="de-DE"/>
        </w:rPr>
      </w:pPr>
      <w:r w:rsidRPr="00733486">
        <w:rPr>
          <w:rFonts w:ascii="Times New Roman" w:hAnsi="Times New Roman" w:cs="Times New Roman"/>
          <w:noProof/>
          <w:spacing w:val="-2"/>
          <w:sz w:val="26"/>
          <w:szCs w:val="26"/>
          <w:lang w:val="de-DE"/>
        </w:rPr>
        <w:drawing>
          <wp:inline distT="0" distB="0" distL="0" distR="0" wp14:anchorId="56561CE9" wp14:editId="4391C939">
            <wp:extent cx="5802630" cy="259728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C51850" w14:textId="41E0AD36" w:rsidR="00C1042E" w:rsidRPr="00733486" w:rsidRDefault="003A1BA6" w:rsidP="00BD3E07">
      <w:pPr>
        <w:spacing w:after="0" w:line="336" w:lineRule="auto"/>
        <w:ind w:firstLine="567"/>
        <w:jc w:val="center"/>
        <w:rPr>
          <w:rStyle w:val="Emphasis"/>
          <w:rFonts w:ascii="Times New Roman" w:hAnsi="Times New Roman" w:cs="Times New Roman"/>
          <w:b/>
          <w:bCs/>
          <w:sz w:val="26"/>
          <w:szCs w:val="26"/>
          <w:vertAlign w:val="superscript"/>
        </w:rPr>
      </w:pPr>
      <w:r w:rsidRPr="00733486">
        <w:rPr>
          <w:rStyle w:val="Emphasis"/>
          <w:rFonts w:ascii="Times New Roman" w:hAnsi="Times New Roman" w:cs="Times New Roman"/>
          <w:b/>
          <w:bCs/>
          <w:sz w:val="26"/>
          <w:szCs w:val="26"/>
        </w:rPr>
        <w:t xml:space="preserve">Hình 1. Biểu đồ tăng trưởng GDP </w:t>
      </w:r>
      <w:r w:rsidR="004C7202" w:rsidRPr="00733486">
        <w:rPr>
          <w:rStyle w:val="Emphasis"/>
          <w:rFonts w:ascii="Times New Roman" w:hAnsi="Times New Roman" w:cs="Times New Roman"/>
          <w:b/>
          <w:bCs/>
          <w:sz w:val="26"/>
          <w:szCs w:val="26"/>
        </w:rPr>
        <w:t xml:space="preserve">Quý II </w:t>
      </w:r>
      <w:r w:rsidRPr="00733486">
        <w:rPr>
          <w:rStyle w:val="Emphasis"/>
          <w:rFonts w:ascii="Times New Roman" w:hAnsi="Times New Roman" w:cs="Times New Roman"/>
          <w:b/>
          <w:bCs/>
          <w:sz w:val="26"/>
          <w:szCs w:val="26"/>
        </w:rPr>
        <w:t>các năm 2011-202</w:t>
      </w:r>
      <w:r w:rsidR="00733486">
        <w:rPr>
          <w:rStyle w:val="Emphasis"/>
          <w:rFonts w:ascii="Times New Roman" w:hAnsi="Times New Roman" w:cs="Times New Roman"/>
          <w:b/>
          <w:bCs/>
          <w:sz w:val="26"/>
          <w:szCs w:val="26"/>
        </w:rPr>
        <w:t>3</w:t>
      </w:r>
      <w:r w:rsidRPr="00733486">
        <w:rPr>
          <w:rStyle w:val="Emphasis"/>
          <w:rFonts w:ascii="Times New Roman" w:hAnsi="Times New Roman" w:cs="Times New Roman"/>
          <w:b/>
          <w:bCs/>
          <w:sz w:val="26"/>
          <w:szCs w:val="26"/>
        </w:rPr>
        <w:t xml:space="preserve"> (%)</w:t>
      </w:r>
      <w:r w:rsidRPr="00733486">
        <w:rPr>
          <w:rStyle w:val="Emphasis"/>
          <w:rFonts w:ascii="Times New Roman" w:hAnsi="Times New Roman" w:cs="Times New Roman"/>
          <w:b/>
          <w:bCs/>
          <w:sz w:val="26"/>
          <w:szCs w:val="26"/>
          <w:vertAlign w:val="superscript"/>
        </w:rPr>
        <w:t>[</w:t>
      </w:r>
      <w:r w:rsidRPr="00733486">
        <w:rPr>
          <w:rStyle w:val="FootnoteReference"/>
          <w:rFonts w:ascii="Times New Roman" w:hAnsi="Times New Roman" w:cs="Times New Roman"/>
          <w:b/>
          <w:bCs/>
          <w:i/>
          <w:iCs/>
          <w:sz w:val="26"/>
          <w:szCs w:val="26"/>
          <w:vertAlign w:val="superscript"/>
        </w:rPr>
        <w:footnoteReference w:id="1"/>
      </w:r>
      <w:r w:rsidRPr="00733486">
        <w:rPr>
          <w:rStyle w:val="Emphasis"/>
          <w:rFonts w:ascii="Times New Roman" w:hAnsi="Times New Roman" w:cs="Times New Roman"/>
          <w:b/>
          <w:bCs/>
          <w:sz w:val="26"/>
          <w:szCs w:val="26"/>
          <w:vertAlign w:val="superscript"/>
        </w:rPr>
        <w:t>]</w:t>
      </w:r>
    </w:p>
    <w:p w14:paraId="49C5D2F3" w14:textId="16D8EDBA" w:rsidR="009F05C5" w:rsidRPr="00733486" w:rsidRDefault="009F05C5" w:rsidP="00BD3E07">
      <w:pPr>
        <w:pStyle w:val="BodyTextIndent"/>
        <w:spacing w:after="0" w:line="336" w:lineRule="auto"/>
        <w:ind w:left="284" w:firstLine="567"/>
        <w:rPr>
          <w:rFonts w:ascii="Times New Roman" w:eastAsia="Times New Roman" w:hAnsi="Times New Roman" w:cs="Times New Roman"/>
          <w:color w:val="auto"/>
          <w:sz w:val="26"/>
          <w:szCs w:val="26"/>
          <w:lang w:val="de-DE"/>
        </w:rPr>
      </w:pPr>
      <w:r w:rsidRPr="00733486">
        <w:rPr>
          <w:rFonts w:ascii="Times New Roman" w:hAnsi="Times New Roman" w:cs="Times New Roman"/>
          <w:sz w:val="26"/>
          <w:szCs w:val="26"/>
          <w:lang w:val="de-DE"/>
        </w:rPr>
        <w:t xml:space="preserve">Về cơ cấu nền kinh tế 6 tháng đầu năm 2023, khu vực nông, lâm nghiệp và thủy sản chiếm tỷ trọng 11,32%; khu vực công nghiệp và xây dựng chiếm 36,62%; khu </w:t>
      </w:r>
      <w:r w:rsidRPr="00733486">
        <w:rPr>
          <w:rFonts w:ascii="Times New Roman" w:hAnsi="Times New Roman" w:cs="Times New Roman"/>
          <w:sz w:val="26"/>
          <w:szCs w:val="26"/>
          <w:lang w:val="de-DE"/>
        </w:rPr>
        <w:lastRenderedPageBreak/>
        <w:t xml:space="preserve">vực dịch vụ chiếm 43,25%; thuế sản phẩm trừ trợ cấp sản phẩm chiếm 8,81% </w:t>
      </w:r>
      <w:r w:rsidRPr="00733486">
        <w:rPr>
          <w:rFonts w:ascii="Times New Roman" w:hAnsi="Times New Roman" w:cs="Times New Roman"/>
          <w:spacing w:val="-4"/>
          <w:sz w:val="26"/>
          <w:szCs w:val="26"/>
          <w:lang w:val="de-DE"/>
        </w:rPr>
        <w:t>(Cơ cấu tương ứng của cùng kỳ năm 2022 là 11,21%; 38,00%; 41,85%; 8,94%)</w:t>
      </w:r>
      <w:r w:rsidRPr="00733486">
        <w:rPr>
          <w:rFonts w:ascii="Times New Roman" w:hAnsi="Times New Roman" w:cs="Times New Roman"/>
          <w:sz w:val="26"/>
          <w:szCs w:val="26"/>
          <w:lang w:val="de-DE"/>
        </w:rPr>
        <w:t>.</w:t>
      </w:r>
      <w:r w:rsidR="00416897" w:rsidRPr="00733486">
        <w:rPr>
          <w:rFonts w:ascii="Times New Roman" w:hAnsi="Times New Roman" w:cs="Times New Roman"/>
          <w:sz w:val="26"/>
          <w:szCs w:val="26"/>
          <w:lang w:val="de-DE"/>
        </w:rPr>
        <w:t xml:space="preserve"> Khu vực công nghiệp và xây dựng</w:t>
      </w:r>
      <w:r w:rsidR="00F972B8" w:rsidRPr="00733486">
        <w:rPr>
          <w:rFonts w:ascii="Times New Roman" w:hAnsi="Times New Roman" w:cs="Times New Roman"/>
          <w:sz w:val="26"/>
          <w:szCs w:val="26"/>
          <w:lang w:val="de-DE"/>
        </w:rPr>
        <w:t xml:space="preserve"> giảm, khu vực dịch vụ tăng so với cùng kỳ năm ngoái, hai khu vực còn lại không có nhiều thay đổi.</w:t>
      </w:r>
      <w:r w:rsidR="00F972B8" w:rsidRPr="00733486">
        <w:rPr>
          <w:rFonts w:ascii="Times New Roman" w:hAnsi="Times New Roman" w:cs="Times New Roman"/>
          <w:b/>
          <w:bCs/>
          <w:sz w:val="26"/>
          <w:szCs w:val="26"/>
          <w:vertAlign w:val="superscript"/>
        </w:rPr>
        <w:t xml:space="preserve"> </w:t>
      </w:r>
      <w:r w:rsidR="00F972B8" w:rsidRPr="00733486">
        <w:rPr>
          <w:rStyle w:val="Emphasis"/>
          <w:rFonts w:ascii="Times New Roman" w:hAnsi="Times New Roman" w:cs="Times New Roman"/>
          <w:b/>
          <w:bCs/>
          <w:sz w:val="26"/>
          <w:szCs w:val="26"/>
          <w:vertAlign w:val="superscript"/>
        </w:rPr>
        <w:t>[</w:t>
      </w:r>
      <w:r w:rsidR="00F972B8" w:rsidRPr="00733486">
        <w:rPr>
          <w:rStyle w:val="FootnoteReference"/>
          <w:rFonts w:ascii="Times New Roman" w:hAnsi="Times New Roman" w:cs="Times New Roman"/>
          <w:b/>
          <w:bCs/>
          <w:i/>
          <w:iCs/>
          <w:sz w:val="26"/>
          <w:szCs w:val="26"/>
          <w:vertAlign w:val="superscript"/>
        </w:rPr>
        <w:footnoteReference w:id="2"/>
      </w:r>
      <w:r w:rsidR="00F972B8" w:rsidRPr="00733486">
        <w:rPr>
          <w:rStyle w:val="Emphasis"/>
          <w:rFonts w:ascii="Times New Roman" w:hAnsi="Times New Roman" w:cs="Times New Roman"/>
          <w:b/>
          <w:bCs/>
          <w:sz w:val="26"/>
          <w:szCs w:val="26"/>
          <w:vertAlign w:val="superscript"/>
        </w:rPr>
        <w:t>]</w:t>
      </w:r>
    </w:p>
    <w:p w14:paraId="21BF355E" w14:textId="3F6F0F58" w:rsidR="00DA16C0" w:rsidRPr="00733486" w:rsidRDefault="00DA16C0" w:rsidP="00BD3E07">
      <w:pPr>
        <w:spacing w:after="0" w:line="336" w:lineRule="auto"/>
        <w:ind w:right="-2" w:firstLine="0"/>
        <w:jc w:val="center"/>
        <w:rPr>
          <w:rFonts w:ascii="Times New Roman" w:hAnsi="Times New Roman" w:cs="Times New Roman"/>
          <w:sz w:val="26"/>
          <w:szCs w:val="26"/>
          <w:lang w:val="de-DE"/>
        </w:rPr>
      </w:pPr>
      <w:r w:rsidRPr="00733486">
        <w:rPr>
          <w:rFonts w:ascii="Times New Roman" w:hAnsi="Times New Roman" w:cs="Times New Roman"/>
          <w:noProof/>
          <w:sz w:val="26"/>
          <w:szCs w:val="26"/>
        </w:rPr>
        <w:drawing>
          <wp:inline distT="0" distB="0" distL="0" distR="0" wp14:anchorId="22AC85A7" wp14:editId="41DAC2DF">
            <wp:extent cx="5398770" cy="2889115"/>
            <wp:effectExtent l="0" t="0" r="0" b="6985"/>
            <wp:docPr id="1482561162" name="Chart 1482561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1D1F2" w14:textId="63B87695" w:rsidR="00DA16C0" w:rsidRPr="00733486" w:rsidRDefault="00DA16C0" w:rsidP="00BD3E07">
      <w:pPr>
        <w:spacing w:after="0" w:line="336" w:lineRule="auto"/>
        <w:ind w:right="-2" w:firstLine="567"/>
        <w:jc w:val="center"/>
        <w:rPr>
          <w:rStyle w:val="Emphasis"/>
          <w:rFonts w:ascii="Times New Roman" w:hAnsi="Times New Roman" w:cs="Times New Roman"/>
          <w:b/>
          <w:bCs/>
          <w:sz w:val="26"/>
          <w:szCs w:val="26"/>
        </w:rPr>
      </w:pPr>
      <w:r w:rsidRPr="00733486">
        <w:rPr>
          <w:rStyle w:val="Emphasis"/>
          <w:rFonts w:ascii="Times New Roman" w:hAnsi="Times New Roman" w:cs="Times New Roman"/>
          <w:b/>
          <w:bCs/>
          <w:sz w:val="26"/>
          <w:szCs w:val="26"/>
        </w:rPr>
        <w:t>Hình 2. Cơ cấu nền kinh tế 6 tháng đầu năm 202</w:t>
      </w:r>
      <w:r w:rsidR="00B335F2" w:rsidRPr="00733486">
        <w:rPr>
          <w:rStyle w:val="Emphasis"/>
          <w:rFonts w:ascii="Times New Roman" w:hAnsi="Times New Roman" w:cs="Times New Roman"/>
          <w:b/>
          <w:bCs/>
          <w:sz w:val="26"/>
          <w:szCs w:val="26"/>
        </w:rPr>
        <w:t>3</w:t>
      </w:r>
    </w:p>
    <w:p w14:paraId="0683E98B" w14:textId="77777777" w:rsidR="0031029C" w:rsidRDefault="002C2601"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Sau đại dịch Covid-19, một số ngành nghề kinh tế đang dần có triển vọng phục hồi và cơ hội tăng trưởng so với giai đoạn trước, tuy nhiên ngành xây dựng vẫn còn chưa c</w:t>
      </w:r>
      <w:r w:rsidR="00145699" w:rsidRPr="00733486">
        <w:rPr>
          <w:rFonts w:ascii="Times New Roman" w:hAnsi="Times New Roman" w:cs="Times New Roman"/>
          <w:sz w:val="26"/>
          <w:szCs w:val="26"/>
          <w:lang w:val="de-DE"/>
        </w:rPr>
        <w:t>ó</w:t>
      </w:r>
      <w:r w:rsidRPr="00733486">
        <w:rPr>
          <w:rFonts w:ascii="Times New Roman" w:hAnsi="Times New Roman" w:cs="Times New Roman"/>
          <w:sz w:val="26"/>
          <w:szCs w:val="26"/>
          <w:lang w:val="de-DE"/>
        </w:rPr>
        <w:t xml:space="preserve"> nhiều tín hiệu khả quan.</w:t>
      </w:r>
      <w:r w:rsidR="00853791" w:rsidRPr="00733486">
        <w:rPr>
          <w:rFonts w:ascii="Times New Roman" w:hAnsi="Times New Roman" w:cs="Times New Roman"/>
          <w:sz w:val="26"/>
          <w:szCs w:val="26"/>
          <w:lang w:val="de-DE"/>
        </w:rPr>
        <w:t xml:space="preserve"> Cho đến hiện tại các doanh nghiệp xây dựng vẫn đang trong giai đoạn khủng hoảng, có rất nhiều khó khăn về tài chính, thiếu việc làm, dẫn đến nợ xấu tăng cao</w:t>
      </w:r>
      <w:r w:rsidR="00C458D1" w:rsidRPr="00733486">
        <w:rPr>
          <w:rFonts w:ascii="Times New Roman" w:hAnsi="Times New Roman" w:cs="Times New Roman"/>
          <w:sz w:val="26"/>
          <w:szCs w:val="26"/>
          <w:lang w:val="de-DE"/>
        </w:rPr>
        <w:t>. Năm 2023 vẫn là một năm đầy rẫy khó khăn đối với các doanh nghiệp xây dựng, hoạt động sản xuất kinh doanh vẫn bị ảnh hưởng bởi nhiều yếu tố khách quan đem lại như: giá nguyên vật liệu xây dựng tăng cao, thị trường bất động sản trầm lắng, thiếu vốn cho hoạt động sản xuất kinh doanh.</w:t>
      </w:r>
      <w:r w:rsidR="00853791" w:rsidRPr="00733486">
        <w:rPr>
          <w:rFonts w:ascii="Times New Roman" w:hAnsi="Times New Roman" w:cs="Times New Roman"/>
          <w:sz w:val="26"/>
          <w:szCs w:val="26"/>
          <w:lang w:val="de-DE"/>
        </w:rPr>
        <w:t xml:space="preserve"> Đặc biệt đối với ngành xây dựng dân dụng và bất động sản, các công trình gối đầu chưa được chủ </w:t>
      </w:r>
      <w:hyperlink r:id="rId10" w:history="1">
        <w:r w:rsidR="00853791" w:rsidRPr="00733486">
          <w:rPr>
            <w:rFonts w:ascii="Times New Roman" w:hAnsi="Times New Roman" w:cs="Times New Roman"/>
            <w:sz w:val="26"/>
            <w:szCs w:val="26"/>
            <w:lang w:val="de-DE"/>
          </w:rPr>
          <w:t>đầu tư</w:t>
        </w:r>
      </w:hyperlink>
      <w:r w:rsidR="00853791" w:rsidRPr="00733486">
        <w:rPr>
          <w:rFonts w:ascii="Times New Roman" w:hAnsi="Times New Roman" w:cs="Times New Roman"/>
          <w:sz w:val="26"/>
          <w:szCs w:val="26"/>
          <w:lang w:val="de-DE"/>
        </w:rPr>
        <w:t> thanh toán, khiến các nhà thầu không có nguồn trả nợ vay ngân hàng và các nhà cung cấp, là hệ lụy dẫn tới nhiều công trình phải dừng thi công, không thể hoàn thành</w:t>
      </w:r>
      <w:r w:rsidR="00947A4B" w:rsidRPr="00733486">
        <w:rPr>
          <w:rFonts w:ascii="Times New Roman" w:hAnsi="Times New Roman" w:cs="Times New Roman"/>
          <w:sz w:val="26"/>
          <w:szCs w:val="26"/>
          <w:lang w:val="de-DE"/>
        </w:rPr>
        <w:t>. Đó cũng là một trong nguyên nhân chính các doanh nghiệp không đủ</w:t>
      </w:r>
      <w:r w:rsidR="00853791" w:rsidRPr="00733486">
        <w:rPr>
          <w:rFonts w:ascii="Times New Roman" w:hAnsi="Times New Roman" w:cs="Times New Roman"/>
          <w:sz w:val="26"/>
          <w:szCs w:val="26"/>
          <w:lang w:val="de-DE"/>
        </w:rPr>
        <w:t xml:space="preserve"> nguồn lực </w:t>
      </w:r>
      <w:r w:rsidR="00947A4B" w:rsidRPr="00733486">
        <w:rPr>
          <w:rFonts w:ascii="Times New Roman" w:hAnsi="Times New Roman" w:cs="Times New Roman"/>
          <w:sz w:val="26"/>
          <w:szCs w:val="26"/>
          <w:lang w:val="de-DE"/>
        </w:rPr>
        <w:t xml:space="preserve">tài chính </w:t>
      </w:r>
      <w:r w:rsidR="00853791" w:rsidRPr="00733486">
        <w:rPr>
          <w:rFonts w:ascii="Times New Roman" w:hAnsi="Times New Roman" w:cs="Times New Roman"/>
          <w:sz w:val="26"/>
          <w:szCs w:val="26"/>
          <w:lang w:val="de-DE"/>
        </w:rPr>
        <w:t xml:space="preserve">để </w:t>
      </w:r>
      <w:r w:rsidR="00947A4B" w:rsidRPr="00733486">
        <w:rPr>
          <w:rFonts w:ascii="Times New Roman" w:hAnsi="Times New Roman" w:cs="Times New Roman"/>
          <w:sz w:val="26"/>
          <w:szCs w:val="26"/>
          <w:lang w:val="de-DE"/>
        </w:rPr>
        <w:t>tiếp tục tham gia thực hiện</w:t>
      </w:r>
      <w:r w:rsidR="00853791" w:rsidRPr="00733486">
        <w:rPr>
          <w:rFonts w:ascii="Times New Roman" w:hAnsi="Times New Roman" w:cs="Times New Roman"/>
          <w:sz w:val="26"/>
          <w:szCs w:val="26"/>
          <w:lang w:val="de-DE"/>
        </w:rPr>
        <w:t xml:space="preserve"> các </w:t>
      </w:r>
      <w:r w:rsidR="00947A4B" w:rsidRPr="00733486">
        <w:rPr>
          <w:rFonts w:ascii="Times New Roman" w:hAnsi="Times New Roman" w:cs="Times New Roman"/>
          <w:sz w:val="26"/>
          <w:szCs w:val="26"/>
          <w:lang w:val="de-DE"/>
        </w:rPr>
        <w:t xml:space="preserve">dự án </w:t>
      </w:r>
      <w:r w:rsidR="00853791" w:rsidRPr="00733486">
        <w:rPr>
          <w:rFonts w:ascii="Times New Roman" w:hAnsi="Times New Roman" w:cs="Times New Roman"/>
          <w:sz w:val="26"/>
          <w:szCs w:val="26"/>
          <w:lang w:val="de-DE"/>
        </w:rPr>
        <w:t>mục tiêu.</w:t>
      </w:r>
      <w:r w:rsidR="00947A4B" w:rsidRPr="00733486">
        <w:rPr>
          <w:rFonts w:ascii="Times New Roman" w:hAnsi="Times New Roman" w:cs="Times New Roman"/>
          <w:sz w:val="26"/>
          <w:szCs w:val="26"/>
          <w:lang w:val="de-DE"/>
        </w:rPr>
        <w:t xml:space="preserve"> </w:t>
      </w:r>
    </w:p>
    <w:p w14:paraId="30BAACEB" w14:textId="3FCCFE90" w:rsidR="0031029C" w:rsidRPr="00733486" w:rsidRDefault="0031029C" w:rsidP="00BD3E07">
      <w:pPr>
        <w:spacing w:after="0" w:line="336" w:lineRule="auto"/>
        <w:ind w:right="-2" w:firstLine="567"/>
        <w:rPr>
          <w:rFonts w:ascii="Times New Roman" w:eastAsia="Times New Roman" w:hAnsi="Times New Roman" w:cs="Times New Roman"/>
          <w:color w:val="auto"/>
          <w:sz w:val="26"/>
          <w:szCs w:val="26"/>
          <w:lang w:val="de-DE"/>
        </w:rPr>
      </w:pPr>
      <w:r>
        <w:rPr>
          <w:rFonts w:ascii="Times New Roman" w:hAnsi="Times New Roman" w:cs="Times New Roman"/>
          <w:sz w:val="26"/>
          <w:szCs w:val="26"/>
          <w:lang w:val="de-DE"/>
        </w:rPr>
        <w:t>Sang đến Quý II, tình hình sản xuất kinh doanh của các doanh nghiệp được đánh giá khả quan hơn s</w:t>
      </w:r>
      <w:r w:rsidR="0037660C">
        <w:rPr>
          <w:rFonts w:ascii="Times New Roman" w:hAnsi="Times New Roman" w:cs="Times New Roman"/>
          <w:sz w:val="26"/>
          <w:szCs w:val="26"/>
          <w:lang w:val="de-DE"/>
        </w:rPr>
        <w:t>o với Quý I</w:t>
      </w:r>
      <w:r>
        <w:rPr>
          <w:rFonts w:ascii="Times New Roman" w:hAnsi="Times New Roman" w:cs="Times New Roman"/>
          <w:sz w:val="26"/>
          <w:szCs w:val="26"/>
          <w:lang w:val="de-DE"/>
        </w:rPr>
        <w:t xml:space="preserve"> </w:t>
      </w:r>
      <w:r w:rsidRPr="0031029C">
        <w:rPr>
          <w:rFonts w:ascii="Times New Roman" w:hAnsi="Times New Roman" w:cs="Times New Roman"/>
          <w:sz w:val="26"/>
          <w:szCs w:val="26"/>
          <w:lang w:val="de-DE"/>
        </w:rPr>
        <w:t xml:space="preserve">với 25,0% doanh nghiệp nhận định hoạt động </w:t>
      </w:r>
      <w:r w:rsidR="00A7605A">
        <w:rPr>
          <w:rFonts w:ascii="Times New Roman" w:hAnsi="Times New Roman" w:cs="Times New Roman"/>
          <w:sz w:val="26"/>
          <w:szCs w:val="26"/>
          <w:lang w:val="de-DE"/>
        </w:rPr>
        <w:t>sản xuất kinh doanh</w:t>
      </w:r>
      <w:r w:rsidRPr="0031029C">
        <w:rPr>
          <w:rFonts w:ascii="Times New Roman" w:hAnsi="Times New Roman" w:cs="Times New Roman"/>
          <w:sz w:val="26"/>
          <w:szCs w:val="26"/>
          <w:lang w:val="de-DE"/>
        </w:rPr>
        <w:t xml:space="preserve"> thuận lợi hơn; 37,9% doanh nghiệp nhận định hoạt động </w:t>
      </w:r>
      <w:r w:rsidR="00A7605A">
        <w:rPr>
          <w:rFonts w:ascii="Times New Roman" w:hAnsi="Times New Roman" w:cs="Times New Roman"/>
          <w:sz w:val="26"/>
          <w:szCs w:val="26"/>
          <w:lang w:val="de-DE"/>
        </w:rPr>
        <w:t>sản xuất kinh doanh</w:t>
      </w:r>
      <w:r w:rsidRPr="0031029C">
        <w:rPr>
          <w:rFonts w:ascii="Times New Roman" w:hAnsi="Times New Roman" w:cs="Times New Roman"/>
          <w:sz w:val="26"/>
          <w:szCs w:val="26"/>
          <w:lang w:val="de-DE"/>
        </w:rPr>
        <w:t xml:space="preserve"> ổn định và 37,1% doanh nghiệp nhận định hoạt động </w:t>
      </w:r>
      <w:r w:rsidR="00A7605A">
        <w:rPr>
          <w:rFonts w:ascii="Times New Roman" w:hAnsi="Times New Roman" w:cs="Times New Roman"/>
          <w:sz w:val="26"/>
          <w:szCs w:val="26"/>
          <w:lang w:val="de-DE"/>
        </w:rPr>
        <w:t>sản xuất kinh doanh</w:t>
      </w:r>
      <w:r w:rsidRPr="0031029C">
        <w:rPr>
          <w:rFonts w:ascii="Times New Roman" w:hAnsi="Times New Roman" w:cs="Times New Roman"/>
          <w:sz w:val="26"/>
          <w:szCs w:val="26"/>
          <w:lang w:val="de-DE"/>
        </w:rPr>
        <w:t xml:space="preserve"> khó khăn hơn</w:t>
      </w:r>
      <w:r w:rsidR="00A7605A">
        <w:rPr>
          <w:rFonts w:ascii="Times New Roman" w:hAnsi="Times New Roman" w:cs="Times New Roman"/>
          <w:sz w:val="26"/>
          <w:szCs w:val="26"/>
          <w:lang w:val="de-DE"/>
        </w:rPr>
        <w:t>.</w:t>
      </w:r>
      <w:r w:rsidRPr="0031029C">
        <w:rPr>
          <w:rStyle w:val="Emphasis"/>
          <w:rFonts w:ascii="Times New Roman" w:hAnsi="Times New Roman" w:cs="Times New Roman"/>
          <w:b/>
          <w:bCs/>
          <w:sz w:val="26"/>
          <w:szCs w:val="26"/>
          <w:vertAlign w:val="superscript"/>
        </w:rPr>
        <w:t xml:space="preserve"> </w:t>
      </w:r>
      <w:r w:rsidRPr="00733486">
        <w:rPr>
          <w:rStyle w:val="Emphasis"/>
          <w:rFonts w:ascii="Times New Roman" w:hAnsi="Times New Roman" w:cs="Times New Roman"/>
          <w:b/>
          <w:bCs/>
          <w:sz w:val="26"/>
          <w:szCs w:val="26"/>
          <w:vertAlign w:val="superscript"/>
        </w:rPr>
        <w:t>[</w:t>
      </w:r>
      <w:r w:rsidRPr="00733486">
        <w:rPr>
          <w:rStyle w:val="FootnoteReference"/>
          <w:rFonts w:ascii="Times New Roman" w:hAnsi="Times New Roman" w:cs="Times New Roman"/>
          <w:b/>
          <w:bCs/>
          <w:i/>
          <w:iCs/>
          <w:sz w:val="26"/>
          <w:szCs w:val="26"/>
          <w:vertAlign w:val="superscript"/>
        </w:rPr>
        <w:footnoteReference w:id="3"/>
      </w:r>
      <w:r w:rsidRPr="00733486">
        <w:rPr>
          <w:rStyle w:val="Emphasis"/>
          <w:rFonts w:ascii="Times New Roman" w:hAnsi="Times New Roman" w:cs="Times New Roman"/>
          <w:b/>
          <w:bCs/>
          <w:sz w:val="26"/>
          <w:szCs w:val="26"/>
          <w:vertAlign w:val="superscript"/>
        </w:rPr>
        <w:t>]</w:t>
      </w:r>
    </w:p>
    <w:p w14:paraId="12DC75D9" w14:textId="375C164D" w:rsidR="00C56862" w:rsidRPr="00733486" w:rsidRDefault="00B30337"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lastRenderedPageBreak/>
        <w:t xml:space="preserve">Trước bối cảnh kinh tế suy thoái, lạm phát tăng cao, thu nhập giảm sút, nhu cầu đầu tư, mua nhà </w:t>
      </w:r>
      <w:r w:rsidR="000B07F5" w:rsidRPr="00733486">
        <w:rPr>
          <w:rFonts w:ascii="Times New Roman" w:hAnsi="Times New Roman" w:cs="Times New Roman"/>
          <w:sz w:val="26"/>
          <w:szCs w:val="26"/>
          <w:lang w:val="de-DE"/>
        </w:rPr>
        <w:t>sụt giảm nghiêm trọng</w:t>
      </w:r>
      <w:r w:rsidR="000A1B44" w:rsidRPr="00733486">
        <w:rPr>
          <w:rFonts w:ascii="Times New Roman" w:hAnsi="Times New Roman" w:cs="Times New Roman"/>
          <w:sz w:val="26"/>
          <w:szCs w:val="26"/>
          <w:lang w:val="de-DE"/>
        </w:rPr>
        <w:t xml:space="preserve">. Do cầu thấp, </w:t>
      </w:r>
      <w:r w:rsidR="00042FF7" w:rsidRPr="00733486">
        <w:rPr>
          <w:rFonts w:ascii="Times New Roman" w:hAnsi="Times New Roman" w:cs="Times New Roman"/>
          <w:sz w:val="26"/>
          <w:szCs w:val="26"/>
          <w:lang w:val="de-DE"/>
        </w:rPr>
        <w:t xml:space="preserve">việc huy động nguồn vốn và bán bất động sản của nhà chủ đầu tư bất động sản (đối tác chính của ngành xây dựng) gặp khó khăn, việc thanh toán cho các nhà thầu xây dựng bị ảnh hưởng, </w:t>
      </w:r>
      <w:r w:rsidR="000A1B44" w:rsidRPr="00733486">
        <w:rPr>
          <w:rFonts w:ascii="Times New Roman" w:hAnsi="Times New Roman" w:cs="Times New Roman"/>
          <w:sz w:val="26"/>
          <w:szCs w:val="26"/>
          <w:lang w:val="de-DE"/>
        </w:rPr>
        <w:t>bị thu hẹp nguồn công việc, hạn chế ký hợp đồng mới, các dự án đang xây dựng hoạt động cầm ch</w:t>
      </w:r>
      <w:r w:rsidR="00526132" w:rsidRPr="00733486">
        <w:rPr>
          <w:rFonts w:ascii="Times New Roman" w:hAnsi="Times New Roman" w:cs="Times New Roman"/>
          <w:sz w:val="26"/>
          <w:szCs w:val="26"/>
          <w:lang w:val="de-DE"/>
        </w:rPr>
        <w:t>ừ</w:t>
      </w:r>
      <w:r w:rsidR="000A1B44" w:rsidRPr="00733486">
        <w:rPr>
          <w:rFonts w:ascii="Times New Roman" w:hAnsi="Times New Roman" w:cs="Times New Roman"/>
          <w:sz w:val="26"/>
          <w:szCs w:val="26"/>
          <w:lang w:val="de-DE"/>
        </w:rPr>
        <w:t>ng</w:t>
      </w:r>
      <w:r w:rsidR="00733486">
        <w:rPr>
          <w:rFonts w:ascii="Times New Roman" w:hAnsi="Times New Roman" w:cs="Times New Roman"/>
          <w:sz w:val="26"/>
          <w:szCs w:val="26"/>
          <w:lang w:val="de-DE"/>
        </w:rPr>
        <w:t>,</w:t>
      </w:r>
      <w:r w:rsidR="000A1B44" w:rsidRPr="00733486">
        <w:rPr>
          <w:rFonts w:ascii="Times New Roman" w:hAnsi="Times New Roman" w:cs="Times New Roman"/>
          <w:sz w:val="26"/>
          <w:szCs w:val="26"/>
          <w:lang w:val="de-DE"/>
        </w:rPr>
        <w:t xml:space="preserve"> kéo dài thời gian thi công </w:t>
      </w:r>
      <w:r w:rsidR="00526132" w:rsidRPr="00733486">
        <w:rPr>
          <w:rFonts w:ascii="Times New Roman" w:hAnsi="Times New Roman" w:cs="Times New Roman"/>
          <w:sz w:val="26"/>
          <w:szCs w:val="26"/>
          <w:lang w:val="de-DE"/>
        </w:rPr>
        <w:t>càng làm tăng thêm các chi phí, lợi nhuận càng ít đi.</w:t>
      </w:r>
      <w:r w:rsidR="00C56862" w:rsidRPr="00733486">
        <w:rPr>
          <w:rFonts w:ascii="Times New Roman" w:hAnsi="Times New Roman" w:cs="Times New Roman"/>
          <w:sz w:val="26"/>
          <w:szCs w:val="26"/>
          <w:lang w:val="de-DE"/>
        </w:rPr>
        <w:t xml:space="preserve"> Ngay cả đối với các doanh nghiệp có quy mô lớn, lợi nhuận của họ bị sụt giảm nghiêm trọng, thậm chí lỗ.</w:t>
      </w:r>
    </w:p>
    <w:p w14:paraId="12DBA6F3" w14:textId="77777777" w:rsidR="002248E6" w:rsidRPr="00733486" w:rsidRDefault="00042FF7" w:rsidP="00BD3E07">
      <w:pPr>
        <w:spacing w:after="0" w:line="336" w:lineRule="auto"/>
        <w:ind w:right="0"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Việc</w:t>
      </w:r>
      <w:r w:rsidR="00C56862" w:rsidRPr="00733486">
        <w:rPr>
          <w:rFonts w:ascii="Times New Roman" w:hAnsi="Times New Roman" w:cs="Times New Roman"/>
          <w:sz w:val="26"/>
          <w:szCs w:val="26"/>
          <w:lang w:val="de-DE"/>
        </w:rPr>
        <w:t xml:space="preserve"> các doanh nghiệp</w:t>
      </w:r>
      <w:r w:rsidRPr="00733486">
        <w:rPr>
          <w:rFonts w:ascii="Times New Roman" w:hAnsi="Times New Roman" w:cs="Times New Roman"/>
          <w:sz w:val="26"/>
          <w:szCs w:val="26"/>
          <w:lang w:val="de-DE"/>
        </w:rPr>
        <w:t xml:space="preserve"> ngành xây dựng phụ thuộc nhiều vào </w:t>
      </w:r>
      <w:r w:rsidR="000B03C1" w:rsidRPr="00733486">
        <w:rPr>
          <w:rFonts w:ascii="Times New Roman" w:hAnsi="Times New Roman" w:cs="Times New Roman"/>
          <w:sz w:val="26"/>
          <w:szCs w:val="26"/>
          <w:lang w:val="de-DE"/>
        </w:rPr>
        <w:t xml:space="preserve">ngành bất động sản trong thời gian qua, khiến cho các doanh nghiệp ở thế bị động, </w:t>
      </w:r>
      <w:r w:rsidR="00C56862" w:rsidRPr="00733486">
        <w:rPr>
          <w:rFonts w:ascii="Times New Roman" w:hAnsi="Times New Roman" w:cs="Times New Roman"/>
          <w:sz w:val="26"/>
          <w:szCs w:val="26"/>
          <w:lang w:val="de-DE"/>
        </w:rPr>
        <w:t>chấp nhận rủi ro. Trên thực tế còn có rất nhiều mảng khác trong thị trường xây dựng như các công trình dân dụng trường học, bệnh viện, các công trình công cộng, công trình hạ tầng, công trình công nghiệp..., nên các doanh nghiệp cũng cần thiết đánh giá, chủ động lựa chọn đối tác có khả năng tài chính, thanh toán.</w:t>
      </w:r>
      <w:r w:rsidR="002248E6" w:rsidRPr="00733486">
        <w:rPr>
          <w:rFonts w:ascii="Times New Roman" w:hAnsi="Times New Roman" w:cs="Times New Roman"/>
          <w:sz w:val="26"/>
          <w:szCs w:val="26"/>
          <w:lang w:val="de-DE"/>
        </w:rPr>
        <w:t xml:space="preserve"> </w:t>
      </w:r>
    </w:p>
    <w:p w14:paraId="32C47F94" w14:textId="160F5862" w:rsidR="00A03676" w:rsidRPr="00733486" w:rsidRDefault="00C56862"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 xml:space="preserve">So với </w:t>
      </w:r>
      <w:r w:rsidR="002248E6" w:rsidRPr="00733486">
        <w:rPr>
          <w:rFonts w:ascii="Times New Roman" w:hAnsi="Times New Roman" w:cs="Times New Roman"/>
          <w:sz w:val="26"/>
          <w:szCs w:val="26"/>
          <w:lang w:val="de-DE"/>
        </w:rPr>
        <w:t xml:space="preserve">lĩnh vực </w:t>
      </w:r>
      <w:r w:rsidRPr="00733486">
        <w:rPr>
          <w:rFonts w:ascii="Times New Roman" w:hAnsi="Times New Roman" w:cs="Times New Roman"/>
          <w:sz w:val="26"/>
          <w:szCs w:val="26"/>
          <w:lang w:val="de-DE"/>
        </w:rPr>
        <w:t xml:space="preserve">xây dựng dân dụng, lĩnh vực xây dựng hạ tầng và công nghiệp </w:t>
      </w:r>
      <w:r w:rsidR="00C458D1" w:rsidRPr="00733486">
        <w:rPr>
          <w:rFonts w:ascii="Times New Roman" w:hAnsi="Times New Roman" w:cs="Times New Roman"/>
          <w:sz w:val="26"/>
          <w:szCs w:val="26"/>
          <w:lang w:val="de-DE"/>
        </w:rPr>
        <w:t xml:space="preserve">có nhiều </w:t>
      </w:r>
      <w:r w:rsidR="002248E6" w:rsidRPr="00733486">
        <w:rPr>
          <w:rFonts w:ascii="Times New Roman" w:hAnsi="Times New Roman" w:cs="Times New Roman"/>
          <w:sz w:val="26"/>
          <w:szCs w:val="26"/>
          <w:lang w:val="de-DE"/>
        </w:rPr>
        <w:t xml:space="preserve">tín hiệu </w:t>
      </w:r>
      <w:r w:rsidR="00C458D1" w:rsidRPr="00733486">
        <w:rPr>
          <w:rFonts w:ascii="Times New Roman" w:hAnsi="Times New Roman" w:cs="Times New Roman"/>
          <w:sz w:val="26"/>
          <w:szCs w:val="26"/>
          <w:lang w:val="de-DE"/>
        </w:rPr>
        <w:t>tích cực.</w:t>
      </w:r>
      <w:r w:rsidR="002248E6" w:rsidRPr="00733486">
        <w:rPr>
          <w:rFonts w:ascii="Times New Roman" w:hAnsi="Times New Roman" w:cs="Times New Roman"/>
          <w:sz w:val="26"/>
          <w:szCs w:val="26"/>
          <w:lang w:val="de-DE"/>
        </w:rPr>
        <w:t xml:space="preserve"> </w:t>
      </w:r>
    </w:p>
    <w:p w14:paraId="35D43AF7" w14:textId="62D055D2" w:rsidR="00A03676" w:rsidRPr="00733486" w:rsidRDefault="00D878B1"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Trong</w:t>
      </w:r>
      <w:r w:rsidR="002248E6" w:rsidRPr="00733486">
        <w:rPr>
          <w:rFonts w:ascii="Times New Roman" w:hAnsi="Times New Roman" w:cs="Times New Roman"/>
          <w:sz w:val="26"/>
          <w:szCs w:val="26"/>
          <w:lang w:val="de-DE"/>
        </w:rPr>
        <w:t xml:space="preserve"> lĩnh vực xây dựng </w:t>
      </w:r>
      <w:r w:rsidRPr="00733486">
        <w:rPr>
          <w:rFonts w:ascii="Times New Roman" w:hAnsi="Times New Roman" w:cs="Times New Roman"/>
          <w:sz w:val="26"/>
          <w:szCs w:val="26"/>
          <w:lang w:val="de-DE"/>
        </w:rPr>
        <w:t>công nghiệp</w:t>
      </w:r>
      <w:r w:rsidR="002248E6" w:rsidRPr="00733486">
        <w:rPr>
          <w:rFonts w:ascii="Times New Roman" w:hAnsi="Times New Roman" w:cs="Times New Roman"/>
          <w:sz w:val="26"/>
          <w:szCs w:val="26"/>
          <w:lang w:val="de-DE"/>
        </w:rPr>
        <w:t xml:space="preserve">, nhu cầu xây dựng nhà xưởng, hạ tầng khu công nghiệp </w:t>
      </w:r>
      <w:r w:rsidR="004D51B7" w:rsidRPr="00733486">
        <w:rPr>
          <w:rFonts w:ascii="Times New Roman" w:hAnsi="Times New Roman" w:cs="Times New Roman"/>
          <w:sz w:val="26"/>
          <w:szCs w:val="26"/>
          <w:lang w:val="de-DE"/>
        </w:rPr>
        <w:t xml:space="preserve">vẫn tiếp tục </w:t>
      </w:r>
      <w:r w:rsidR="002248E6" w:rsidRPr="00733486">
        <w:rPr>
          <w:rFonts w:ascii="Times New Roman" w:hAnsi="Times New Roman" w:cs="Times New Roman"/>
          <w:sz w:val="26"/>
          <w:szCs w:val="26"/>
          <w:lang w:val="de-DE"/>
        </w:rPr>
        <w:t xml:space="preserve">tăng cao. </w:t>
      </w:r>
      <w:r w:rsidR="004D51B7" w:rsidRPr="00733486">
        <w:rPr>
          <w:rFonts w:ascii="Times New Roman" w:hAnsi="Times New Roman" w:cs="Times New Roman"/>
          <w:sz w:val="26"/>
          <w:szCs w:val="26"/>
          <w:lang w:val="de-DE"/>
        </w:rPr>
        <w:t>Việt Nam được ghi nhận là một trong các điểm đến hàng đầu cho các công ty quốc tế để xây dựng các khu công nghiệp và nhiều tập đoàn hàng đầu quốc tế cam kết đầu tư nhiều hơn cho nước ta</w:t>
      </w:r>
      <w:r w:rsidR="00ED50E4" w:rsidRPr="00733486">
        <w:rPr>
          <w:rFonts w:ascii="Times New Roman" w:hAnsi="Times New Roman" w:cs="Times New Roman"/>
          <w:sz w:val="26"/>
          <w:szCs w:val="26"/>
          <w:lang w:val="de-DE"/>
        </w:rPr>
        <w:t xml:space="preserve"> do</w:t>
      </w:r>
      <w:r w:rsidR="004D51B7" w:rsidRPr="00733486">
        <w:rPr>
          <w:rFonts w:ascii="Times New Roman" w:hAnsi="Times New Roman" w:cs="Times New Roman"/>
          <w:sz w:val="26"/>
          <w:szCs w:val="26"/>
          <w:lang w:val="de-DE"/>
        </w:rPr>
        <w:t xml:space="preserve"> </w:t>
      </w:r>
      <w:r w:rsidR="00ED50E4" w:rsidRPr="00733486">
        <w:rPr>
          <w:rFonts w:ascii="Times New Roman" w:hAnsi="Times New Roman" w:cs="Times New Roman"/>
          <w:sz w:val="26"/>
          <w:szCs w:val="26"/>
          <w:lang w:val="de-DE"/>
        </w:rPr>
        <w:t>m</w:t>
      </w:r>
      <w:r w:rsidR="002248E6" w:rsidRPr="00733486">
        <w:rPr>
          <w:rFonts w:ascii="Times New Roman" w:hAnsi="Times New Roman" w:cs="Times New Roman"/>
          <w:sz w:val="26"/>
          <w:szCs w:val="26"/>
          <w:lang w:val="de-DE"/>
        </w:rPr>
        <w:t>ạng lưới sản xuất toàn cầu đang có sự dịch chuyển trong những năm qua</w:t>
      </w:r>
      <w:r w:rsidR="00ED50E4" w:rsidRPr="00733486">
        <w:rPr>
          <w:rFonts w:ascii="Times New Roman" w:hAnsi="Times New Roman" w:cs="Times New Roman"/>
          <w:sz w:val="26"/>
          <w:szCs w:val="26"/>
          <w:lang w:val="de-DE"/>
        </w:rPr>
        <w:t xml:space="preserve"> và thời gian tới.</w:t>
      </w:r>
      <w:r w:rsidRPr="00733486">
        <w:rPr>
          <w:rFonts w:ascii="Times New Roman" w:hAnsi="Times New Roman" w:cs="Times New Roman"/>
          <w:sz w:val="26"/>
          <w:szCs w:val="26"/>
          <w:lang w:val="de-DE"/>
        </w:rPr>
        <w:t xml:space="preserve"> </w:t>
      </w:r>
      <w:r w:rsidR="00ED50E4" w:rsidRPr="00733486">
        <w:rPr>
          <w:rFonts w:ascii="Times New Roman" w:hAnsi="Times New Roman" w:cs="Times New Roman"/>
          <w:sz w:val="26"/>
          <w:szCs w:val="26"/>
          <w:lang w:val="de-DE"/>
        </w:rPr>
        <w:t xml:space="preserve">Một số dự án  khu công nghiệp nổi bật từ Bắc vào Nam đang được triển khai, </w:t>
      </w:r>
      <w:r w:rsidR="00A03676" w:rsidRPr="00733486">
        <w:rPr>
          <w:rFonts w:ascii="Times New Roman" w:hAnsi="Times New Roman" w:cs="Times New Roman"/>
          <w:sz w:val="26"/>
          <w:szCs w:val="26"/>
          <w:lang w:val="de-DE"/>
        </w:rPr>
        <w:t>các</w:t>
      </w:r>
      <w:r w:rsidR="00ED50E4" w:rsidRPr="00733486">
        <w:rPr>
          <w:rFonts w:ascii="Times New Roman" w:hAnsi="Times New Roman" w:cs="Times New Roman"/>
          <w:sz w:val="26"/>
          <w:szCs w:val="26"/>
          <w:lang w:val="de-DE"/>
        </w:rPr>
        <w:t xml:space="preserve"> dự án FDI được triển khai năm 2023 tại Bình Dương, Bắc Giang, Bắc Ninh, Đồng Nai, Bình Phước, Long An, Nghệ An, Thanh Hóa, Đà Nẵng..., một số dự án khu công nghiệp của các chủ đầu tư trong nước như</w:t>
      </w:r>
      <w:r w:rsidR="00A03676" w:rsidRPr="00733486">
        <w:rPr>
          <w:rFonts w:ascii="Times New Roman" w:hAnsi="Times New Roman" w:cs="Times New Roman"/>
          <w:sz w:val="26"/>
          <w:szCs w:val="26"/>
          <w:lang w:val="de-DE"/>
        </w:rPr>
        <w:t xml:space="preserve"> dự án khu công nghiệp tại Hưng Yên, Huế, Long An, Quảng Ninh ... vẫn đang tiếp tục được triển khai thực hiện. </w:t>
      </w:r>
      <w:r w:rsidRPr="00733486">
        <w:rPr>
          <w:rFonts w:ascii="Times New Roman" w:hAnsi="Times New Roman" w:cs="Times New Roman"/>
          <w:sz w:val="26"/>
          <w:szCs w:val="26"/>
          <w:lang w:val="de-DE"/>
        </w:rPr>
        <w:t>Trong năm 2023, xây dựng công nghiệp vẫn sẽ là mảng sáng hỗ trợ tăng trưởng toàn ngành, </w:t>
      </w:r>
      <w:r w:rsidR="00A03676" w:rsidRPr="00733486">
        <w:rPr>
          <w:rFonts w:ascii="Times New Roman" w:hAnsi="Times New Roman" w:cs="Times New Roman"/>
          <w:sz w:val="26"/>
          <w:szCs w:val="26"/>
          <w:lang w:val="de-DE"/>
        </w:rPr>
        <w:t xml:space="preserve">trong đó </w:t>
      </w:r>
      <w:r w:rsidR="002248E6" w:rsidRPr="00733486">
        <w:rPr>
          <w:rFonts w:ascii="Times New Roman" w:hAnsi="Times New Roman" w:cs="Times New Roman"/>
          <w:sz w:val="26"/>
          <w:szCs w:val="26"/>
          <w:lang w:val="de-DE"/>
        </w:rPr>
        <w:t>vốn đầu tư trực tiếp nước ngoài (FDI) sẽ là động lực hỗ trợ cho sự phát triển chung toàn ngành trong thời gian tới.</w:t>
      </w:r>
      <w:r w:rsidRPr="00733486">
        <w:rPr>
          <w:rFonts w:ascii="Times New Roman" w:hAnsi="Times New Roman" w:cs="Times New Roman"/>
          <w:sz w:val="26"/>
          <w:szCs w:val="26"/>
          <w:lang w:val="de-DE"/>
        </w:rPr>
        <w:t xml:space="preserve"> </w:t>
      </w:r>
    </w:p>
    <w:p w14:paraId="5EFD03DF" w14:textId="44D27EC5" w:rsidR="00A03676" w:rsidRDefault="00A03676"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Trong lĩnh vực xây dựng hạ tầng 2023, đầu tư công là yếu tố quan trọng hỗ trợ tăng trưởng kinh tế. H</w:t>
      </w:r>
      <w:r w:rsidRPr="00733486">
        <w:rPr>
          <w:rFonts w:ascii="Times New Roman" w:eastAsia="Times New Roman" w:hAnsi="Times New Roman" w:cs="Times New Roman"/>
          <w:color w:val="212529"/>
          <w:sz w:val="26"/>
          <w:szCs w:val="26"/>
        </w:rPr>
        <w:t xml:space="preserve">ầu hết các công ty xây dựng hạ tầng lớn đều đặt kế hoạch tăng trưởng </w:t>
      </w:r>
      <w:r w:rsidRPr="00733486">
        <w:rPr>
          <w:rFonts w:ascii="Times New Roman" w:hAnsi="Times New Roman" w:cs="Times New Roman"/>
          <w:sz w:val="26"/>
          <w:szCs w:val="26"/>
          <w:lang w:val="de-DE"/>
        </w:rPr>
        <w:t xml:space="preserve">mạnh doanh thu năm 2023 sau khi được chỉ định thầu hàng loạt </w:t>
      </w:r>
      <w:r w:rsidR="00733486">
        <w:rPr>
          <w:rFonts w:ascii="Times New Roman" w:hAnsi="Times New Roman" w:cs="Times New Roman"/>
          <w:sz w:val="26"/>
          <w:szCs w:val="26"/>
          <w:lang w:val="de-DE"/>
        </w:rPr>
        <w:t xml:space="preserve">các gói thầu </w:t>
      </w:r>
      <w:r w:rsidRPr="00733486">
        <w:rPr>
          <w:rFonts w:ascii="Times New Roman" w:hAnsi="Times New Roman" w:cs="Times New Roman"/>
          <w:sz w:val="26"/>
          <w:szCs w:val="26"/>
          <w:lang w:val="de-DE"/>
        </w:rPr>
        <w:t>tại dự án cao tốc Bắc</w:t>
      </w:r>
      <w:r w:rsid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Nam giai đoạn 2</w:t>
      </w:r>
      <w:r w:rsidR="00115CD7" w:rsidRPr="00733486">
        <w:rPr>
          <w:rFonts w:ascii="Times New Roman" w:hAnsi="Times New Roman" w:cs="Times New Roman"/>
          <w:sz w:val="26"/>
          <w:szCs w:val="26"/>
          <w:lang w:val="de-DE"/>
        </w:rPr>
        <w:t xml:space="preserve"> (2021-2025)</w:t>
      </w:r>
      <w:r w:rsidRPr="00733486">
        <w:rPr>
          <w:rFonts w:ascii="Times New Roman" w:hAnsi="Times New Roman" w:cs="Times New Roman"/>
          <w:sz w:val="26"/>
          <w:szCs w:val="26"/>
          <w:lang w:val="de-DE"/>
        </w:rPr>
        <w:t>, và Chính phủ thúc đẩy giải ngân đầu tư công trong năm nay sẽ giúp đẩy mạnh tiến độ xây dựng và ghi nhận doanh thu tại các dự án hạ tầng giao thông.</w:t>
      </w:r>
    </w:p>
    <w:p w14:paraId="76EC63D1" w14:textId="4EC93704" w:rsidR="00820363" w:rsidRDefault="00820363" w:rsidP="00BD3E07">
      <w:pPr>
        <w:spacing w:after="0" w:line="336" w:lineRule="auto"/>
        <w:ind w:right="-2" w:firstLine="0"/>
        <w:jc w:val="center"/>
        <w:rPr>
          <w:rFonts w:ascii="Times New Roman" w:hAnsi="Times New Roman" w:cs="Times New Roman"/>
          <w:sz w:val="26"/>
          <w:szCs w:val="26"/>
          <w:lang w:val="de-DE"/>
        </w:rPr>
      </w:pPr>
      <w:r>
        <w:rPr>
          <w:rFonts w:ascii="Times New Roman" w:hAnsi="Times New Roman" w:cs="Times New Roman"/>
          <w:noProof/>
          <w:sz w:val="26"/>
          <w:szCs w:val="26"/>
          <w:lang w:val="de-DE"/>
        </w:rPr>
        <w:lastRenderedPageBreak/>
        <w:drawing>
          <wp:inline distT="0" distB="0" distL="0" distR="0" wp14:anchorId="18506AEC" wp14:editId="077558AD">
            <wp:extent cx="5128260" cy="2933395"/>
            <wp:effectExtent l="0" t="0" r="15240" b="635"/>
            <wp:docPr id="201162665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094C6B" w14:textId="03929CAE" w:rsidR="00820363" w:rsidRPr="00733486" w:rsidRDefault="00820363" w:rsidP="00BD3E07">
      <w:pPr>
        <w:spacing w:after="0" w:line="336" w:lineRule="auto"/>
        <w:ind w:right="-2" w:firstLine="567"/>
        <w:jc w:val="center"/>
        <w:rPr>
          <w:rStyle w:val="Emphasis"/>
          <w:rFonts w:ascii="Times New Roman" w:hAnsi="Times New Roman" w:cs="Times New Roman"/>
          <w:b/>
          <w:bCs/>
          <w:sz w:val="26"/>
          <w:szCs w:val="26"/>
        </w:rPr>
      </w:pPr>
      <w:r w:rsidRPr="00733486">
        <w:rPr>
          <w:rStyle w:val="Emphasis"/>
          <w:rFonts w:ascii="Times New Roman" w:hAnsi="Times New Roman" w:cs="Times New Roman"/>
          <w:b/>
          <w:bCs/>
          <w:sz w:val="26"/>
          <w:szCs w:val="26"/>
        </w:rPr>
        <w:t xml:space="preserve">Hình </w:t>
      </w:r>
      <w:r>
        <w:rPr>
          <w:rStyle w:val="Emphasis"/>
          <w:rFonts w:ascii="Times New Roman" w:hAnsi="Times New Roman" w:cs="Times New Roman"/>
          <w:b/>
          <w:bCs/>
          <w:sz w:val="26"/>
          <w:szCs w:val="26"/>
        </w:rPr>
        <w:t>3</w:t>
      </w:r>
      <w:r w:rsidRPr="00733486">
        <w:rPr>
          <w:rStyle w:val="Emphasis"/>
          <w:rFonts w:ascii="Times New Roman" w:hAnsi="Times New Roman" w:cs="Times New Roman"/>
          <w:b/>
          <w:bCs/>
          <w:sz w:val="26"/>
          <w:szCs w:val="26"/>
        </w:rPr>
        <w:t xml:space="preserve">. </w:t>
      </w:r>
      <w:r w:rsidRPr="00820363">
        <w:rPr>
          <w:rStyle w:val="Emphasis"/>
          <w:rFonts w:ascii="Times New Roman" w:hAnsi="Times New Roman" w:cs="Times New Roman"/>
          <w:b/>
          <w:bCs/>
          <w:sz w:val="26"/>
          <w:szCs w:val="26"/>
        </w:rPr>
        <w:t>Biểu đồ tăng trưởng GDP 6 tháng đầu năm các năm 2011-2023 (%)</w:t>
      </w:r>
      <w:r w:rsidR="00AB6C6E" w:rsidRPr="00733486">
        <w:rPr>
          <w:rFonts w:ascii="Times New Roman" w:hAnsi="Times New Roman" w:cs="Times New Roman"/>
          <w:i/>
          <w:iCs/>
          <w:spacing w:val="-2"/>
          <w:sz w:val="26"/>
          <w:szCs w:val="26"/>
          <w:vertAlign w:val="superscript"/>
          <w:lang w:val="de-DE"/>
        </w:rPr>
        <w:t>[</w:t>
      </w:r>
      <w:r w:rsidR="00AB6C6E" w:rsidRPr="00733486">
        <w:rPr>
          <w:rStyle w:val="FootnoteReference"/>
          <w:rFonts w:ascii="Times New Roman" w:hAnsi="Times New Roman" w:cs="Times New Roman"/>
          <w:i/>
          <w:iCs/>
          <w:sz w:val="26"/>
          <w:szCs w:val="26"/>
          <w:vertAlign w:val="superscript"/>
          <w:lang w:val="pt-BR"/>
        </w:rPr>
        <w:footnoteReference w:id="4"/>
      </w:r>
      <w:r w:rsidR="00AB6C6E" w:rsidRPr="00733486">
        <w:rPr>
          <w:rFonts w:ascii="Times New Roman" w:hAnsi="Times New Roman" w:cs="Times New Roman"/>
          <w:i/>
          <w:iCs/>
          <w:sz w:val="26"/>
          <w:szCs w:val="26"/>
          <w:vertAlign w:val="superscript"/>
          <w:lang w:val="pt-BR"/>
        </w:rPr>
        <w:t>]</w:t>
      </w:r>
    </w:p>
    <w:p w14:paraId="5A87CEBD" w14:textId="3DCFF922" w:rsidR="00115CD7" w:rsidRPr="00733486" w:rsidRDefault="00115CD7"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Theo kế hoạch, giai đoạn 2021-2025, Bộ Giao thông vận tải sẽ khởi công mới 67 dự án gồm 5 dự án quan trọng quốc gia, 10 dự án nhóm A, 51 dự án nhóm B,C.</w:t>
      </w:r>
    </w:p>
    <w:p w14:paraId="004D3C83" w14:textId="771D25B2" w:rsidR="006C31F2" w:rsidRPr="00733486" w:rsidRDefault="00115CD7"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Ngày 01/01/2023, 12 dự án thành phần thuộc dự án cao tốc Bắc - Nam giai đoạn 2021-2025 đã đồng loạt khởi công trên địa bàn 9 tỉnh gồm các đoạn Bãi Vọt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Hàm Nghi, Hàm Nghi</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Vũng Áng, Vũng Áng</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Bùng, Bùng</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Vạn Ninh, Vạn Ninh</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Cam Lộ, Quảng Ngãi</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Hoài Nhơn, Hoài Nhơn</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Quy Nhơn, Quy Nhơn</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Chí Thạnh, Chí Thạnh</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Vân Phong, Vân Phong</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Nha Trang, Cần Thơ</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Hậu Giang, Hậu Giang</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Cà Mau với tổng chiều dài các dự án cao tốc là 729</w:t>
      </w:r>
      <w:r w:rsidR="006C31F2" w:rsidRPr="00733486">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km</w:t>
      </w:r>
      <w:r w:rsidR="002746DE" w:rsidRPr="00733486">
        <w:rPr>
          <w:rFonts w:ascii="Times New Roman" w:hAnsi="Times New Roman" w:cs="Times New Roman"/>
          <w:sz w:val="26"/>
          <w:szCs w:val="26"/>
          <w:lang w:val="de-DE"/>
        </w:rPr>
        <w:t xml:space="preserve">. </w:t>
      </w:r>
    </w:p>
    <w:p w14:paraId="738AE125" w14:textId="07045F2C" w:rsidR="00115CD7" w:rsidRDefault="002746DE"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 xml:space="preserve">Trong </w:t>
      </w:r>
      <w:r w:rsidR="006C31F2" w:rsidRPr="00733486">
        <w:rPr>
          <w:rFonts w:ascii="Times New Roman" w:hAnsi="Times New Roman" w:cs="Times New Roman"/>
          <w:sz w:val="26"/>
          <w:szCs w:val="26"/>
          <w:lang w:val="de-DE"/>
        </w:rPr>
        <w:t xml:space="preserve">cuối </w:t>
      </w:r>
      <w:r w:rsidRPr="00733486">
        <w:rPr>
          <w:rFonts w:ascii="Times New Roman" w:hAnsi="Times New Roman" w:cs="Times New Roman"/>
          <w:sz w:val="26"/>
          <w:szCs w:val="26"/>
          <w:lang w:val="de-DE"/>
        </w:rPr>
        <w:t xml:space="preserve">tháng 6/2023 </w:t>
      </w:r>
      <w:r w:rsidR="006C31F2" w:rsidRPr="00733486">
        <w:rPr>
          <w:rFonts w:ascii="Times New Roman" w:hAnsi="Times New Roman" w:cs="Times New Roman"/>
          <w:sz w:val="26"/>
          <w:szCs w:val="26"/>
          <w:lang w:val="de-DE"/>
        </w:rPr>
        <w:t>sẽ tiếp tục</w:t>
      </w:r>
      <w:r w:rsidRPr="00733486">
        <w:rPr>
          <w:rFonts w:ascii="Times New Roman" w:hAnsi="Times New Roman" w:cs="Times New Roman"/>
          <w:sz w:val="26"/>
          <w:szCs w:val="26"/>
          <w:lang w:val="de-DE"/>
        </w:rPr>
        <w:t xml:space="preserve"> khởi công </w:t>
      </w:r>
      <w:r w:rsidR="0095114C" w:rsidRPr="00733486">
        <w:rPr>
          <w:rFonts w:ascii="Times New Roman" w:hAnsi="Times New Roman" w:cs="Times New Roman"/>
          <w:sz w:val="26"/>
          <w:szCs w:val="26"/>
          <w:lang w:val="de-DE"/>
        </w:rPr>
        <w:t xml:space="preserve">3 dự án cao tốc trục ngang gồm Châu Đốc </w:t>
      </w:r>
      <w:r w:rsidR="00EB661B" w:rsidRPr="00733486">
        <w:rPr>
          <w:rFonts w:ascii="Times New Roman" w:hAnsi="Times New Roman" w:cs="Times New Roman"/>
          <w:sz w:val="26"/>
          <w:szCs w:val="26"/>
          <w:lang w:val="de-DE"/>
        </w:rPr>
        <w:t>-</w:t>
      </w:r>
      <w:r w:rsidR="0095114C" w:rsidRPr="00733486">
        <w:rPr>
          <w:rFonts w:ascii="Times New Roman" w:hAnsi="Times New Roman" w:cs="Times New Roman"/>
          <w:sz w:val="26"/>
          <w:szCs w:val="26"/>
          <w:lang w:val="de-DE"/>
        </w:rPr>
        <w:t xml:space="preserve"> Cần Thơ </w:t>
      </w:r>
      <w:r w:rsidR="00EB661B" w:rsidRPr="00733486">
        <w:rPr>
          <w:rFonts w:ascii="Times New Roman" w:hAnsi="Times New Roman" w:cs="Times New Roman"/>
          <w:sz w:val="26"/>
          <w:szCs w:val="26"/>
          <w:lang w:val="de-DE"/>
        </w:rPr>
        <w:t>-</w:t>
      </w:r>
      <w:r w:rsidR="0095114C" w:rsidRPr="00733486">
        <w:rPr>
          <w:rFonts w:ascii="Times New Roman" w:hAnsi="Times New Roman" w:cs="Times New Roman"/>
          <w:sz w:val="26"/>
          <w:szCs w:val="26"/>
          <w:lang w:val="de-DE"/>
        </w:rPr>
        <w:t xml:space="preserve"> Sóc Tră</w:t>
      </w:r>
      <w:r w:rsidR="00EB661B" w:rsidRPr="00733486">
        <w:rPr>
          <w:rFonts w:ascii="Times New Roman" w:hAnsi="Times New Roman" w:cs="Times New Roman"/>
          <w:sz w:val="26"/>
          <w:szCs w:val="26"/>
          <w:lang w:val="de-DE"/>
        </w:rPr>
        <w:t xml:space="preserve">ng, Biên Hòa - Vũng Tàu, </w:t>
      </w:r>
      <w:r w:rsidR="006C31F2" w:rsidRPr="00733486">
        <w:rPr>
          <w:rFonts w:ascii="Times New Roman" w:hAnsi="Times New Roman" w:cs="Times New Roman"/>
          <w:sz w:val="26"/>
          <w:szCs w:val="26"/>
          <w:lang w:val="de-DE"/>
        </w:rPr>
        <w:t>Khánh Hòa - Buôn Ma Thuột với tổng chiều dài 313,1 km và dự án Vành đai 4 Hà Nội chiều dài 112,8 km, dự án Vành đai 3 TP. Hồ Chí Minh với chiều dài 76,34 km.</w:t>
      </w:r>
    </w:p>
    <w:p w14:paraId="4927C0DF" w14:textId="5F33382F" w:rsidR="0031029C" w:rsidRPr="00C23856" w:rsidRDefault="0031029C" w:rsidP="00BD3E07">
      <w:pPr>
        <w:spacing w:after="0" w:line="336" w:lineRule="auto"/>
        <w:ind w:right="-2" w:firstLine="567"/>
        <w:rPr>
          <w:rFonts w:ascii="Times New Roman" w:hAnsi="Times New Roman" w:cs="Times New Roman"/>
          <w:sz w:val="26"/>
          <w:szCs w:val="26"/>
          <w:lang w:val="de-DE"/>
        </w:rPr>
      </w:pPr>
      <w:r>
        <w:rPr>
          <w:rFonts w:ascii="Times New Roman" w:hAnsi="Times New Roman" w:cs="Times New Roman"/>
          <w:sz w:val="26"/>
          <w:szCs w:val="26"/>
          <w:lang w:val="de-DE"/>
        </w:rPr>
        <w:t xml:space="preserve">Theo số liệu  thống kê, chỉ số </w:t>
      </w:r>
      <w:r w:rsidRPr="00C23856">
        <w:rPr>
          <w:rFonts w:ascii="Times New Roman" w:hAnsi="Times New Roman" w:cs="Times New Roman"/>
          <w:sz w:val="26"/>
          <w:szCs w:val="26"/>
          <w:lang w:val="de-DE"/>
        </w:rPr>
        <w:t>cân bằng hợp đồng xây dựng mới quý II/2023 so với quý I/2023 là -5,7% (22,8% doanh nghiệp nhận định tăng; 28,5% doanh nghiệp nhận định giảm), trong đó chỉ số cân bằng hợp đồng xây dựng mới của các doanh nghiệp xây dựng công trình hạ tầng kỹ thuật khả quan nhất với quý II/2023 so với quý I/2023 là 1,2%. Các doanh nghiệp xây dựng nhà các loại và doanh nghiệp hoạt động xây dựng chuyên dụng vẫn khó khăn với chỉ số cân bằng quý II/2023 so với quý I/2022 lần lượt là -6,0% và -</w:t>
      </w:r>
      <w:r w:rsidR="00C23856">
        <w:rPr>
          <w:rFonts w:ascii="Times New Roman" w:hAnsi="Times New Roman" w:cs="Times New Roman"/>
          <w:sz w:val="26"/>
          <w:szCs w:val="26"/>
          <w:lang w:val="de-DE"/>
        </w:rPr>
        <w:t>1</w:t>
      </w:r>
      <w:r w:rsidRPr="00C23856">
        <w:rPr>
          <w:rFonts w:ascii="Times New Roman" w:hAnsi="Times New Roman" w:cs="Times New Roman"/>
          <w:sz w:val="26"/>
          <w:szCs w:val="26"/>
          <w:lang w:val="de-DE"/>
        </w:rPr>
        <w:t>4,6%.</w:t>
      </w:r>
      <w:r w:rsidR="00C23856" w:rsidRPr="00733486">
        <w:rPr>
          <w:rFonts w:ascii="Times New Roman" w:hAnsi="Times New Roman" w:cs="Times New Roman"/>
          <w:i/>
          <w:iCs/>
          <w:spacing w:val="-2"/>
          <w:sz w:val="26"/>
          <w:szCs w:val="26"/>
          <w:vertAlign w:val="superscript"/>
          <w:lang w:val="de-DE"/>
        </w:rPr>
        <w:t>[</w:t>
      </w:r>
      <w:r w:rsidR="00C23856" w:rsidRPr="00733486">
        <w:rPr>
          <w:rStyle w:val="FootnoteReference"/>
          <w:rFonts w:ascii="Times New Roman" w:hAnsi="Times New Roman" w:cs="Times New Roman"/>
          <w:i/>
          <w:iCs/>
          <w:sz w:val="26"/>
          <w:szCs w:val="26"/>
          <w:vertAlign w:val="superscript"/>
          <w:lang w:val="pt-BR"/>
        </w:rPr>
        <w:footnoteReference w:id="5"/>
      </w:r>
      <w:r w:rsidR="00C23856" w:rsidRPr="00733486">
        <w:rPr>
          <w:rFonts w:ascii="Times New Roman" w:hAnsi="Times New Roman" w:cs="Times New Roman"/>
          <w:i/>
          <w:iCs/>
          <w:sz w:val="26"/>
          <w:szCs w:val="26"/>
          <w:vertAlign w:val="superscript"/>
          <w:lang w:val="pt-BR"/>
        </w:rPr>
        <w:t>]</w:t>
      </w:r>
    </w:p>
    <w:p w14:paraId="21C27981" w14:textId="172B93A7" w:rsidR="00C23856" w:rsidRDefault="00C23856" w:rsidP="00BD3E07">
      <w:pPr>
        <w:spacing w:after="0" w:line="336" w:lineRule="auto"/>
        <w:ind w:right="-2" w:firstLine="0"/>
        <w:jc w:val="center"/>
        <w:rPr>
          <w:spacing w:val="4"/>
          <w:sz w:val="28"/>
        </w:rPr>
      </w:pPr>
      <w:r>
        <w:rPr>
          <w:noProof/>
          <w:spacing w:val="4"/>
          <w:sz w:val="28"/>
        </w:rPr>
        <w:lastRenderedPageBreak/>
        <w:drawing>
          <wp:inline distT="0" distB="0" distL="0" distR="0" wp14:anchorId="7DCC3811" wp14:editId="1378E50C">
            <wp:extent cx="5174615" cy="1967789"/>
            <wp:effectExtent l="0" t="0" r="6985" b="0"/>
            <wp:docPr id="123377013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44849B" w14:textId="254DED47" w:rsidR="00C23856" w:rsidRPr="00733486" w:rsidRDefault="00C23856" w:rsidP="00BD3E07">
      <w:pPr>
        <w:spacing w:after="0" w:line="336" w:lineRule="auto"/>
        <w:ind w:right="-2" w:firstLine="447"/>
        <w:jc w:val="center"/>
        <w:rPr>
          <w:rFonts w:ascii="Times New Roman" w:hAnsi="Times New Roman" w:cs="Times New Roman"/>
          <w:b/>
          <w:bCs/>
          <w:i/>
          <w:iCs/>
          <w:sz w:val="26"/>
          <w:szCs w:val="26"/>
          <w:lang w:val="de-DE"/>
        </w:rPr>
      </w:pPr>
      <w:r w:rsidRPr="00733486">
        <w:rPr>
          <w:rFonts w:ascii="Times New Roman" w:hAnsi="Times New Roman" w:cs="Times New Roman"/>
          <w:b/>
          <w:bCs/>
          <w:i/>
          <w:iCs/>
          <w:sz w:val="26"/>
          <w:szCs w:val="26"/>
          <w:lang w:val="de-DE"/>
        </w:rPr>
        <w:t xml:space="preserve">Hình </w:t>
      </w:r>
      <w:r w:rsidR="00A06822">
        <w:rPr>
          <w:rFonts w:ascii="Times New Roman" w:hAnsi="Times New Roman" w:cs="Times New Roman"/>
          <w:b/>
          <w:bCs/>
          <w:i/>
          <w:iCs/>
          <w:sz w:val="26"/>
          <w:szCs w:val="26"/>
          <w:lang w:val="de-DE"/>
        </w:rPr>
        <w:t>4</w:t>
      </w:r>
      <w:r w:rsidRPr="00733486">
        <w:rPr>
          <w:rFonts w:ascii="Times New Roman" w:hAnsi="Times New Roman" w:cs="Times New Roman"/>
          <w:b/>
          <w:bCs/>
          <w:i/>
          <w:iCs/>
          <w:sz w:val="26"/>
          <w:szCs w:val="26"/>
          <w:lang w:val="de-DE"/>
        </w:rPr>
        <w:t xml:space="preserve">. </w:t>
      </w:r>
      <w:r>
        <w:rPr>
          <w:rFonts w:ascii="Times New Roman" w:hAnsi="Times New Roman" w:cs="Times New Roman"/>
          <w:b/>
          <w:bCs/>
          <w:i/>
          <w:iCs/>
          <w:sz w:val="26"/>
          <w:szCs w:val="26"/>
          <w:lang w:val="de-DE"/>
        </w:rPr>
        <w:t xml:space="preserve">Chỉ số cân bằng hợp đồng xây dựng mới QI và QII </w:t>
      </w:r>
      <w:r w:rsidR="00A06822">
        <w:rPr>
          <w:rFonts w:ascii="Times New Roman" w:hAnsi="Times New Roman" w:cs="Times New Roman"/>
          <w:b/>
          <w:bCs/>
          <w:i/>
          <w:iCs/>
          <w:sz w:val="26"/>
          <w:szCs w:val="26"/>
          <w:lang w:val="de-DE"/>
        </w:rPr>
        <w:t>so với các quý liền kề trước đó</w:t>
      </w:r>
    </w:p>
    <w:p w14:paraId="0227AB51" w14:textId="2EAAD353" w:rsidR="00DA16C0" w:rsidRPr="00733486" w:rsidRDefault="00B13D97"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Việc Chính phủ và Thủ tướng chỉ đạo sát sao, yêu cầu không được chậm chễ tiến độ giải ngân vốn đầu tư công đã ảnh hưởng tích cực, thúc đẩy tăng trưởng ngành xây dựng.</w:t>
      </w:r>
      <w:r w:rsidR="002B0981" w:rsidRPr="00733486">
        <w:rPr>
          <w:rFonts w:ascii="Times New Roman" w:hAnsi="Times New Roman" w:cs="Times New Roman"/>
          <w:sz w:val="26"/>
          <w:szCs w:val="26"/>
          <w:lang w:val="de-DE"/>
        </w:rPr>
        <w:t xml:space="preserve"> Tỷ lệ giải ngân 6 tháng đầu năm 2023 ước </w:t>
      </w:r>
      <w:r w:rsidR="003F0014" w:rsidRPr="00733486">
        <w:rPr>
          <w:rFonts w:ascii="Times New Roman" w:hAnsi="Times New Roman" w:cs="Times New Roman"/>
          <w:sz w:val="26"/>
          <w:szCs w:val="26"/>
          <w:lang w:val="de-DE"/>
        </w:rPr>
        <w:t>28,63% kế hoạch</w:t>
      </w:r>
      <w:r w:rsidR="004164D6" w:rsidRPr="00733486">
        <w:rPr>
          <w:rFonts w:ascii="Times New Roman" w:hAnsi="Times New Roman" w:cs="Times New Roman"/>
          <w:sz w:val="26"/>
          <w:szCs w:val="26"/>
          <w:lang w:val="de-DE"/>
        </w:rPr>
        <w:t>, tăng hơn nhiều so với cùng kỳ năm 2022 (25,68%). Trong đó, vốn trong nước giải ngân đạt 29,13% (cùng kỳ năm 2022 đạt 26,76%); vốn nước ngoài đạt 15,72% (cùng kỳ năm 2022 đạt 8,61%).</w:t>
      </w:r>
    </w:p>
    <w:p w14:paraId="1D5F3025" w14:textId="66693D16" w:rsidR="00D50008" w:rsidRDefault="00E4785D"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Vốn đầu tư</w:t>
      </w:r>
      <w:r w:rsidR="00B13D97" w:rsidRPr="00733486">
        <w:rPr>
          <w:rFonts w:ascii="Times New Roman" w:hAnsi="Times New Roman" w:cs="Times New Roman"/>
          <w:sz w:val="26"/>
          <w:szCs w:val="26"/>
          <w:lang w:val="de-DE"/>
        </w:rPr>
        <w:t xml:space="preserve"> thực hiện toàn xã hội trong 6 tháng đầu 2023 theo giá hiện hành ước đạt 1.357,7 nghìn tỷ đồng, tăng 4,7% so với cùng kỳ năm trước (cùng kỳ năm 2022 đạt 1.296,8 nghìn tỷ đồng, tăng 9,2%), trong đó Vốn khu vực Nhà nước đạt 370,5 nghìn tỷ đồng, chiếm 27,3% tổng vốn và tăng 12,6% so với cùng kỳ năm trước; khu vực ngoài Nhà nước đạt 751,9 nghìn tỷ đồng, chiếm 55,4% và tăng 2,1%; khu vực có vốn đầu tư trực tiếp nước ngoài đạt 235,4 nghìn tỷ đồng, chiếm 17,3% và tăng 1,7%.</w:t>
      </w:r>
      <w:r w:rsidR="00AA4418" w:rsidRPr="00733486">
        <w:rPr>
          <w:rFonts w:ascii="Times New Roman" w:hAnsi="Times New Roman" w:cs="Times New Roman"/>
          <w:i/>
          <w:iCs/>
          <w:spacing w:val="-2"/>
          <w:sz w:val="26"/>
          <w:szCs w:val="26"/>
          <w:vertAlign w:val="superscript"/>
          <w:lang w:val="de-DE"/>
        </w:rPr>
        <w:t>[</w:t>
      </w:r>
      <w:r w:rsidR="00AA4418" w:rsidRPr="00733486">
        <w:rPr>
          <w:rStyle w:val="FootnoteReference"/>
          <w:rFonts w:ascii="Times New Roman" w:hAnsi="Times New Roman" w:cs="Times New Roman"/>
          <w:i/>
          <w:iCs/>
          <w:sz w:val="26"/>
          <w:szCs w:val="26"/>
          <w:vertAlign w:val="superscript"/>
          <w:lang w:val="pt-BR"/>
        </w:rPr>
        <w:footnoteReference w:id="6"/>
      </w:r>
      <w:r w:rsidR="00AA4418" w:rsidRPr="00733486">
        <w:rPr>
          <w:rFonts w:ascii="Times New Roman" w:hAnsi="Times New Roman" w:cs="Times New Roman"/>
          <w:i/>
          <w:iCs/>
          <w:sz w:val="26"/>
          <w:szCs w:val="26"/>
          <w:vertAlign w:val="superscript"/>
          <w:lang w:val="pt-BR"/>
        </w:rPr>
        <w:t>]</w:t>
      </w:r>
      <w:r w:rsidR="005562DE" w:rsidRPr="00733486">
        <w:rPr>
          <w:rFonts w:ascii="Times New Roman" w:hAnsi="Times New Roman" w:cs="Times New Roman"/>
          <w:sz w:val="26"/>
          <w:szCs w:val="26"/>
          <w:lang w:val="de-DE"/>
        </w:rPr>
        <w:t xml:space="preserve"> (Hình 3)</w:t>
      </w:r>
    </w:p>
    <w:p w14:paraId="384CFCC7" w14:textId="77777777" w:rsidR="00733486" w:rsidRPr="00733486" w:rsidRDefault="00733486" w:rsidP="00BD3E07">
      <w:pPr>
        <w:spacing w:after="0" w:line="336" w:lineRule="auto"/>
        <w:ind w:right="-2" w:firstLine="447"/>
        <w:rPr>
          <w:rFonts w:ascii="Times New Roman" w:hAnsi="Times New Roman" w:cs="Times New Roman"/>
          <w:sz w:val="26"/>
          <w:szCs w:val="26"/>
          <w:lang w:val="de-DE"/>
        </w:rPr>
      </w:pPr>
    </w:p>
    <w:p w14:paraId="0676F65B" w14:textId="0B3DD2E6" w:rsidR="00B335F2" w:rsidRPr="00733486" w:rsidRDefault="00B335F2" w:rsidP="00BD3E07">
      <w:pPr>
        <w:spacing w:after="0" w:line="336" w:lineRule="auto"/>
        <w:ind w:right="-2" w:firstLine="447"/>
        <w:rPr>
          <w:rFonts w:ascii="Times New Roman" w:hAnsi="Times New Roman" w:cs="Times New Roman"/>
          <w:sz w:val="26"/>
          <w:szCs w:val="26"/>
          <w:lang w:val="de-DE"/>
        </w:rPr>
      </w:pPr>
      <w:r w:rsidRPr="00733486">
        <w:rPr>
          <w:rFonts w:ascii="Times New Roman" w:hAnsi="Times New Roman" w:cs="Times New Roman"/>
          <w:noProof/>
          <w:sz w:val="26"/>
          <w:szCs w:val="26"/>
          <w:lang w:val="de-DE"/>
        </w:rPr>
        <w:drawing>
          <wp:inline distT="0" distB="0" distL="0" distR="0" wp14:anchorId="5DD07448" wp14:editId="67EB33C1">
            <wp:extent cx="5029200" cy="1867711"/>
            <wp:effectExtent l="0" t="0" r="0" b="18415"/>
            <wp:docPr id="200743685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91345C" w14:textId="68A247F0" w:rsidR="00B335F2" w:rsidRPr="00733486" w:rsidRDefault="00B335F2" w:rsidP="000A46B1">
      <w:pPr>
        <w:spacing w:after="0" w:line="336" w:lineRule="auto"/>
        <w:ind w:right="-2" w:firstLine="0"/>
        <w:jc w:val="center"/>
        <w:rPr>
          <w:rFonts w:ascii="Times New Roman" w:hAnsi="Times New Roman" w:cs="Times New Roman"/>
          <w:b/>
          <w:bCs/>
          <w:i/>
          <w:iCs/>
          <w:sz w:val="26"/>
          <w:szCs w:val="26"/>
          <w:lang w:val="de-DE"/>
        </w:rPr>
      </w:pPr>
      <w:r w:rsidRPr="00733486">
        <w:rPr>
          <w:rFonts w:ascii="Times New Roman" w:hAnsi="Times New Roman" w:cs="Times New Roman"/>
          <w:b/>
          <w:bCs/>
          <w:i/>
          <w:iCs/>
          <w:sz w:val="26"/>
          <w:szCs w:val="26"/>
          <w:lang w:val="de-DE"/>
        </w:rPr>
        <w:t xml:space="preserve">Hình </w:t>
      </w:r>
      <w:r w:rsidR="00C23856">
        <w:rPr>
          <w:rFonts w:ascii="Times New Roman" w:hAnsi="Times New Roman" w:cs="Times New Roman"/>
          <w:b/>
          <w:bCs/>
          <w:i/>
          <w:iCs/>
          <w:sz w:val="26"/>
          <w:szCs w:val="26"/>
          <w:lang w:val="de-DE"/>
        </w:rPr>
        <w:t>4</w:t>
      </w:r>
      <w:r w:rsidRPr="00733486">
        <w:rPr>
          <w:rFonts w:ascii="Times New Roman" w:hAnsi="Times New Roman" w:cs="Times New Roman"/>
          <w:b/>
          <w:bCs/>
          <w:i/>
          <w:iCs/>
          <w:sz w:val="26"/>
          <w:szCs w:val="26"/>
          <w:lang w:val="de-DE"/>
        </w:rPr>
        <w:t>. Vốn đầu tư thực hiện toàn xã hội 6 tháng đầu năm 2023</w:t>
      </w:r>
    </w:p>
    <w:p w14:paraId="526684C6" w14:textId="6C66EAF9" w:rsidR="00D8207F" w:rsidRPr="00733486" w:rsidRDefault="00D8207F" w:rsidP="00BD3E07">
      <w:pPr>
        <w:spacing w:after="0" w:line="336" w:lineRule="auto"/>
        <w:ind w:right="-2" w:firstLine="567"/>
        <w:rPr>
          <w:rFonts w:ascii="Times New Roman" w:hAnsi="Times New Roman" w:cs="Times New Roman"/>
          <w:b/>
          <w:bCs/>
          <w:i/>
          <w:iCs/>
          <w:sz w:val="26"/>
          <w:szCs w:val="26"/>
          <w:lang w:val="de-DE"/>
        </w:rPr>
      </w:pPr>
      <w:r w:rsidRPr="00733486">
        <w:rPr>
          <w:rFonts w:ascii="Times New Roman" w:hAnsi="Times New Roman" w:cs="Times New Roman"/>
          <w:sz w:val="26"/>
          <w:szCs w:val="26"/>
          <w:lang w:val="de-DE"/>
        </w:rPr>
        <w:t xml:space="preserve">Việc các dự án hạ tầng giao thông trọng điểm được đồng loạt khởi công ở một số địa phương, ảnh hưởng tích cực đến thị trường nhân công xây dựng hạ tầng nói riêng. </w:t>
      </w:r>
      <w:r w:rsidR="00D24D44" w:rsidRPr="00733486">
        <w:rPr>
          <w:rFonts w:ascii="Times New Roman" w:hAnsi="Times New Roman" w:cs="Times New Roman"/>
          <w:sz w:val="26"/>
          <w:szCs w:val="26"/>
          <w:lang w:val="de-DE"/>
        </w:rPr>
        <w:t xml:space="preserve">Việc đáp ứng tiến độ thi công, chất lượng xây dựng công trình đảm bảo theo tiêu chuẩn kỹ thuật </w:t>
      </w:r>
      <w:r w:rsidR="00D24D44" w:rsidRPr="00733486">
        <w:rPr>
          <w:rFonts w:ascii="Times New Roman" w:hAnsi="Times New Roman" w:cs="Times New Roman"/>
          <w:sz w:val="26"/>
          <w:szCs w:val="26"/>
          <w:lang w:val="de-DE"/>
        </w:rPr>
        <w:lastRenderedPageBreak/>
        <w:t>đòi hỏi lớn về nhân công xây dựng cả về số lượng và chất lượng. Bên cạnh đó,</w:t>
      </w:r>
      <w:r w:rsidRPr="00733486">
        <w:rPr>
          <w:rFonts w:ascii="Times New Roman" w:hAnsi="Times New Roman" w:cs="Times New Roman"/>
          <w:sz w:val="26"/>
          <w:szCs w:val="26"/>
          <w:lang w:val="de-DE"/>
        </w:rPr>
        <w:t xml:space="preserve"> thị trường xây dựng dân dụng tương đối ảm đạm</w:t>
      </w:r>
      <w:r w:rsidR="00D24D44" w:rsidRPr="00733486">
        <w:rPr>
          <w:rFonts w:ascii="Times New Roman" w:hAnsi="Times New Roman" w:cs="Times New Roman"/>
          <w:sz w:val="26"/>
          <w:szCs w:val="26"/>
          <w:lang w:val="de-DE"/>
        </w:rPr>
        <w:t>, nhân công thiếu việc làm, tất yếu có sự chuyển dịch sang các ngành nghề khác. Đối vối các công nhân được đào tạo, có kinh nghiệm và tay nghề, đây không phải là vấn đề lớn, nhưng đối với lao động phổ thông, không có tay nghề thì dễ rơi vào tình trạng thiếu việc làm h</w:t>
      </w:r>
      <w:r w:rsidR="00353BD0" w:rsidRPr="00733486">
        <w:rPr>
          <w:rFonts w:ascii="Times New Roman" w:hAnsi="Times New Roman" w:cs="Times New Roman"/>
          <w:sz w:val="26"/>
          <w:szCs w:val="26"/>
          <w:lang w:val="de-DE"/>
        </w:rPr>
        <w:t>oặc</w:t>
      </w:r>
      <w:r w:rsidR="00D24D44" w:rsidRPr="00733486">
        <w:rPr>
          <w:rFonts w:ascii="Times New Roman" w:hAnsi="Times New Roman" w:cs="Times New Roman"/>
          <w:sz w:val="26"/>
          <w:szCs w:val="26"/>
          <w:lang w:val="de-DE"/>
        </w:rPr>
        <w:t xml:space="preserve"> </w:t>
      </w:r>
      <w:r w:rsidR="00185A99" w:rsidRPr="00733486">
        <w:rPr>
          <w:rFonts w:ascii="Times New Roman" w:hAnsi="Times New Roman" w:cs="Times New Roman"/>
          <w:sz w:val="26"/>
          <w:szCs w:val="26"/>
          <w:lang w:val="de-DE"/>
        </w:rPr>
        <w:t xml:space="preserve">chuyển </w:t>
      </w:r>
      <w:r w:rsidR="00D24D44" w:rsidRPr="00733486">
        <w:rPr>
          <w:rFonts w:ascii="Times New Roman" w:hAnsi="Times New Roman" w:cs="Times New Roman"/>
          <w:sz w:val="26"/>
          <w:szCs w:val="26"/>
          <w:lang w:val="de-DE"/>
        </w:rPr>
        <w:t>làm nh</w:t>
      </w:r>
      <w:r w:rsidR="00353BD0" w:rsidRPr="00733486">
        <w:rPr>
          <w:rFonts w:ascii="Times New Roman" w:hAnsi="Times New Roman" w:cs="Times New Roman"/>
          <w:sz w:val="26"/>
          <w:szCs w:val="26"/>
          <w:lang w:val="de-DE"/>
        </w:rPr>
        <w:t>ững</w:t>
      </w:r>
      <w:r w:rsidR="00D24D44" w:rsidRPr="00733486">
        <w:rPr>
          <w:rFonts w:ascii="Times New Roman" w:hAnsi="Times New Roman" w:cs="Times New Roman"/>
          <w:sz w:val="26"/>
          <w:szCs w:val="26"/>
          <w:lang w:val="de-DE"/>
        </w:rPr>
        <w:t xml:space="preserve"> công việc thủ công </w:t>
      </w:r>
      <w:r w:rsidR="009B60D4" w:rsidRPr="00733486">
        <w:rPr>
          <w:rFonts w:ascii="Times New Roman" w:hAnsi="Times New Roman" w:cs="Times New Roman"/>
          <w:sz w:val="26"/>
          <w:szCs w:val="26"/>
          <w:lang w:val="de-DE"/>
        </w:rPr>
        <w:t>đ</w:t>
      </w:r>
      <w:r w:rsidR="00D24D44" w:rsidRPr="00733486">
        <w:rPr>
          <w:rFonts w:ascii="Times New Roman" w:hAnsi="Times New Roman" w:cs="Times New Roman"/>
          <w:sz w:val="26"/>
          <w:szCs w:val="26"/>
          <w:lang w:val="de-DE"/>
        </w:rPr>
        <w:t>ơn giản, thu nhập thấp.</w:t>
      </w:r>
    </w:p>
    <w:p w14:paraId="7EBB9902" w14:textId="77777777" w:rsidR="00AA4418" w:rsidRDefault="00A51769" w:rsidP="00BD3E07">
      <w:pPr>
        <w:spacing w:after="0" w:line="336" w:lineRule="auto"/>
        <w:ind w:right="-2" w:firstLine="0"/>
        <w:rPr>
          <w:rFonts w:ascii="Times New Roman" w:hAnsi="Times New Roman" w:cs="Times New Roman"/>
          <w:sz w:val="26"/>
          <w:szCs w:val="26"/>
          <w:lang w:val="de-DE"/>
        </w:rPr>
      </w:pPr>
      <w:r w:rsidRPr="00733486">
        <w:rPr>
          <w:rFonts w:ascii="Times New Roman" w:hAnsi="Times New Roman" w:cs="Times New Roman"/>
          <w:b/>
          <w:sz w:val="26"/>
          <w:szCs w:val="26"/>
          <w:lang w:val="de-DE"/>
        </w:rPr>
        <w:t xml:space="preserve">II.  Diễn biến thị trường lao động ngành xây dựng 6 tháng </w:t>
      </w:r>
      <w:r w:rsidR="00B228D4" w:rsidRPr="00733486">
        <w:rPr>
          <w:rFonts w:ascii="Times New Roman" w:hAnsi="Times New Roman" w:cs="Times New Roman"/>
          <w:b/>
          <w:sz w:val="26"/>
          <w:szCs w:val="26"/>
          <w:lang w:val="de-DE"/>
        </w:rPr>
        <w:t>đầu</w:t>
      </w:r>
      <w:r w:rsidRPr="00733486">
        <w:rPr>
          <w:rFonts w:ascii="Times New Roman" w:hAnsi="Times New Roman" w:cs="Times New Roman"/>
          <w:b/>
          <w:sz w:val="26"/>
          <w:szCs w:val="26"/>
          <w:lang w:val="de-DE"/>
        </w:rPr>
        <w:t xml:space="preserve"> năm 202</w:t>
      </w:r>
      <w:r w:rsidR="00B228D4" w:rsidRPr="00733486">
        <w:rPr>
          <w:rFonts w:ascii="Times New Roman" w:hAnsi="Times New Roman" w:cs="Times New Roman"/>
          <w:b/>
          <w:sz w:val="26"/>
          <w:szCs w:val="26"/>
          <w:lang w:val="de-DE"/>
        </w:rPr>
        <w:t>3</w:t>
      </w:r>
      <w:r w:rsidRPr="00733486">
        <w:rPr>
          <w:rFonts w:ascii="Times New Roman" w:hAnsi="Times New Roman" w:cs="Times New Roman"/>
          <w:b/>
          <w:sz w:val="26"/>
          <w:szCs w:val="26"/>
          <w:lang w:val="de-DE"/>
        </w:rPr>
        <w:t>.</w:t>
      </w:r>
      <w:r w:rsidR="00B228D4" w:rsidRPr="00733486">
        <w:rPr>
          <w:rFonts w:ascii="Times New Roman" w:hAnsi="Times New Roman" w:cs="Times New Roman"/>
          <w:sz w:val="26"/>
          <w:szCs w:val="26"/>
          <w:lang w:val="de-DE"/>
        </w:rPr>
        <w:t xml:space="preserve">  </w:t>
      </w:r>
    </w:p>
    <w:p w14:paraId="0F008B0F" w14:textId="4054E6E3" w:rsidR="00AA4418" w:rsidRDefault="00B228D4"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6 tháng đầu năm 2023, lực lượng lao động toàn xã hội có xu hướng tăng, nhưng thị trường lao động vẫn còn nhiều khó khăn, do các doanh nghiệp thiếu việc làm.</w:t>
      </w:r>
    </w:p>
    <w:p w14:paraId="4BDD0B3A" w14:textId="7DE9D796" w:rsidR="00B228D4" w:rsidRDefault="00B228D4" w:rsidP="00BD3E07">
      <w:pPr>
        <w:spacing w:after="0" w:line="336" w:lineRule="auto"/>
        <w:ind w:right="-2"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 xml:space="preserve">Lực lượng lao động từ 15 tuổi trở lên 6 tháng đầu năm 2023 là 52,3 triệu người, tăng 867 nghìn người so với cùng kỳ năm trước; tỷ lệ tham gia lực lượng lao động khoảng 68,9%, tăng 0,6 điểm phần trăm, tỷ lệ lao động đã qua đào tạo có bằng cấp chứng chỉ khoảng 26,6%, tăng 0,5 điểm phần trăm.; lao động có việc làm là 51,2 triệu người, tăng 902 nghìn người so với cùng kỳ năm 2022. Trong đó, khu vực thành thị là gần 19 triệu người, tăng 355 nghìn người so với cùng kỳ năm trước; khu vực nông thôn là 32,2 triệu người, tăng 547,1 nghìn người. Thu nhập bình quân của người lao động khoảng 7 triệu đồng/tháng, tăng 7,6%, tương ứng tăng </w:t>
      </w:r>
      <w:r w:rsidR="001A0885" w:rsidRPr="00733486">
        <w:rPr>
          <w:rFonts w:ascii="Times New Roman" w:hAnsi="Times New Roman" w:cs="Times New Roman"/>
          <w:sz w:val="26"/>
          <w:szCs w:val="26"/>
          <w:lang w:val="de-DE"/>
        </w:rPr>
        <w:t xml:space="preserve">khoảng </w:t>
      </w:r>
      <w:r w:rsidRPr="00733486">
        <w:rPr>
          <w:rFonts w:ascii="Times New Roman" w:hAnsi="Times New Roman" w:cs="Times New Roman"/>
          <w:sz w:val="26"/>
          <w:szCs w:val="26"/>
          <w:lang w:val="de-DE"/>
        </w:rPr>
        <w:t>497 nghìn đồng so với cùng kỳ năm trước</w:t>
      </w:r>
      <w:r w:rsidR="00AA4418" w:rsidRPr="00733486">
        <w:rPr>
          <w:rFonts w:ascii="Times New Roman" w:hAnsi="Times New Roman" w:cs="Times New Roman"/>
          <w:i/>
          <w:iCs/>
          <w:spacing w:val="-2"/>
          <w:sz w:val="26"/>
          <w:szCs w:val="26"/>
          <w:vertAlign w:val="superscript"/>
          <w:lang w:val="de-DE"/>
        </w:rPr>
        <w:t>[</w:t>
      </w:r>
      <w:r w:rsidR="00AA4418" w:rsidRPr="00733486">
        <w:rPr>
          <w:rStyle w:val="FootnoteReference"/>
          <w:rFonts w:ascii="Times New Roman" w:hAnsi="Times New Roman" w:cs="Times New Roman"/>
          <w:i/>
          <w:iCs/>
          <w:sz w:val="26"/>
          <w:szCs w:val="26"/>
          <w:vertAlign w:val="superscript"/>
          <w:lang w:val="pt-BR"/>
        </w:rPr>
        <w:footnoteReference w:id="7"/>
      </w:r>
      <w:r w:rsidR="00AA4418" w:rsidRPr="00733486">
        <w:rPr>
          <w:rFonts w:ascii="Times New Roman" w:hAnsi="Times New Roman" w:cs="Times New Roman"/>
          <w:i/>
          <w:iCs/>
          <w:sz w:val="26"/>
          <w:szCs w:val="26"/>
          <w:vertAlign w:val="superscript"/>
          <w:lang w:val="pt-BR"/>
        </w:rPr>
        <w:t>]</w:t>
      </w:r>
      <w:r w:rsidR="001A0885" w:rsidRPr="00733486">
        <w:rPr>
          <w:rFonts w:ascii="Times New Roman" w:hAnsi="Times New Roman" w:cs="Times New Roman"/>
          <w:sz w:val="26"/>
          <w:szCs w:val="26"/>
          <w:lang w:val="de-DE"/>
        </w:rPr>
        <w:t>.</w:t>
      </w:r>
    </w:p>
    <w:p w14:paraId="2C3F6C36" w14:textId="5C6EA0C0" w:rsidR="00C23856" w:rsidRDefault="00D02888" w:rsidP="00BD3E07">
      <w:pPr>
        <w:spacing w:after="0" w:line="336" w:lineRule="auto"/>
        <w:ind w:right="-2" w:firstLine="567"/>
        <w:rPr>
          <w:rFonts w:ascii="Times New Roman" w:hAnsi="Times New Roman" w:cs="Times New Roman"/>
          <w:sz w:val="26"/>
          <w:szCs w:val="26"/>
          <w:lang w:val="de-DE"/>
        </w:rPr>
      </w:pPr>
      <w:r>
        <w:rPr>
          <w:rFonts w:ascii="Times New Roman" w:hAnsi="Times New Roman" w:cs="Times New Roman"/>
          <w:sz w:val="26"/>
          <w:szCs w:val="26"/>
          <w:lang w:val="de-DE"/>
        </w:rPr>
        <w:t xml:space="preserve">So với Quý I, </w:t>
      </w:r>
      <w:r w:rsidR="00B358A7">
        <w:rPr>
          <w:rFonts w:ascii="Times New Roman" w:hAnsi="Times New Roman" w:cs="Times New Roman"/>
          <w:sz w:val="26"/>
          <w:szCs w:val="26"/>
          <w:lang w:val="de-DE"/>
        </w:rPr>
        <w:t>c</w:t>
      </w:r>
      <w:r w:rsidRPr="00D02888">
        <w:rPr>
          <w:rFonts w:ascii="Times New Roman" w:hAnsi="Times New Roman" w:cs="Times New Roman"/>
          <w:sz w:val="26"/>
          <w:szCs w:val="26"/>
          <w:lang w:val="de-DE"/>
        </w:rPr>
        <w:t>hỉ số cân bằng tổng chi phí cho hoạt động xây dựng của quý II/2023 là 27,1% (47,1% doanh nghiệp dự báo tăng và 20,0% doanh nghiệp dự báo giảm), trong đó chỉ số cân bằng chi phí nhân công trực tiếp quý II/2023 so với quý I/2023 là 24,6% (41,8% doanh nghiệp dự báo tăng và 17,2% doanh nghiệp dự báo giảm)</w:t>
      </w:r>
      <w:r>
        <w:rPr>
          <w:rFonts w:ascii="Times New Roman" w:hAnsi="Times New Roman" w:cs="Times New Roman"/>
          <w:sz w:val="26"/>
          <w:szCs w:val="26"/>
          <w:lang w:val="de-DE"/>
        </w:rPr>
        <w:t>.</w:t>
      </w:r>
    </w:p>
    <w:p w14:paraId="55C8C741" w14:textId="08843A71" w:rsidR="00B358A7" w:rsidRPr="00B358A7" w:rsidRDefault="00B358A7" w:rsidP="00BD3E07">
      <w:pPr>
        <w:spacing w:after="0" w:line="336" w:lineRule="auto"/>
        <w:ind w:right="-2" w:firstLine="567"/>
        <w:rPr>
          <w:rFonts w:ascii="Times New Roman" w:hAnsi="Times New Roman" w:cs="Times New Roman"/>
          <w:sz w:val="26"/>
          <w:szCs w:val="26"/>
          <w:lang w:val="de-DE"/>
        </w:rPr>
      </w:pPr>
      <w:r>
        <w:rPr>
          <w:rFonts w:ascii="Times New Roman" w:hAnsi="Times New Roman" w:cs="Times New Roman"/>
          <w:sz w:val="26"/>
          <w:szCs w:val="26"/>
          <w:lang w:val="de-DE"/>
        </w:rPr>
        <w:t xml:space="preserve">Sang đến Quý II, </w:t>
      </w:r>
      <w:r w:rsidRPr="00B358A7">
        <w:rPr>
          <w:rFonts w:ascii="Times New Roman" w:hAnsi="Times New Roman" w:cs="Times New Roman"/>
          <w:sz w:val="26"/>
          <w:szCs w:val="26"/>
          <w:lang w:val="de-DE"/>
        </w:rPr>
        <w:t xml:space="preserve"> có 41,8% doanh nghiệp nhận định chi phí nhân công trực tiếp tăng; 41,0% doanh nghiệp nhận định chi phí nhân công trực tiếp không đổi và 17,2% doanh nghiệp nhận định chi phí nhân công trực tiếp giảm</w:t>
      </w:r>
      <w:r>
        <w:rPr>
          <w:rFonts w:ascii="Times New Roman" w:hAnsi="Times New Roman" w:cs="Times New Roman"/>
          <w:sz w:val="26"/>
          <w:szCs w:val="26"/>
          <w:lang w:val="de-DE"/>
        </w:rPr>
        <w:t xml:space="preserve"> so với Quý I</w:t>
      </w:r>
      <w:r w:rsidRPr="00B358A7">
        <w:rPr>
          <w:rFonts w:ascii="Times New Roman" w:hAnsi="Times New Roman" w:cs="Times New Roman"/>
          <w:sz w:val="26"/>
          <w:szCs w:val="26"/>
          <w:lang w:val="de-DE"/>
        </w:rPr>
        <w:t>.</w:t>
      </w:r>
    </w:p>
    <w:p w14:paraId="28BE39BE" w14:textId="18F5C730" w:rsidR="00A51769" w:rsidRPr="00733486" w:rsidRDefault="00A51769" w:rsidP="00BD3E07">
      <w:pPr>
        <w:tabs>
          <w:tab w:val="left" w:pos="9070"/>
        </w:tabs>
        <w:spacing w:after="0" w:line="336" w:lineRule="auto"/>
        <w:ind w:firstLine="0"/>
        <w:rPr>
          <w:rFonts w:ascii="Times New Roman" w:hAnsi="Times New Roman" w:cs="Times New Roman"/>
          <w:b/>
          <w:i/>
          <w:iCs/>
          <w:sz w:val="26"/>
          <w:szCs w:val="26"/>
          <w:lang w:val="de-DE"/>
        </w:rPr>
      </w:pPr>
      <w:r w:rsidRPr="00733486">
        <w:rPr>
          <w:rFonts w:ascii="Times New Roman" w:hAnsi="Times New Roman" w:cs="Times New Roman"/>
          <w:b/>
          <w:i/>
          <w:iCs/>
          <w:sz w:val="26"/>
          <w:szCs w:val="26"/>
          <w:lang w:val="de-DE"/>
        </w:rPr>
        <w:t>II.1. Lực lượng lao động ngành xây dựng và chất lượng</w:t>
      </w:r>
    </w:p>
    <w:p w14:paraId="24B9FE46" w14:textId="60DA74E6" w:rsidR="00A51769" w:rsidRPr="00733486" w:rsidRDefault="001A0885" w:rsidP="00BD3E07">
      <w:pPr>
        <w:spacing w:after="0" w:line="336" w:lineRule="auto"/>
        <w:ind w:right="-2" w:firstLine="567"/>
        <w:rPr>
          <w:rFonts w:ascii="Times New Roman" w:hAnsi="Times New Roman" w:cs="Times New Roman"/>
          <w:bCs/>
          <w:iCs/>
          <w:spacing w:val="-4"/>
          <w:sz w:val="26"/>
          <w:szCs w:val="26"/>
          <w:lang w:val="af-ZA"/>
        </w:rPr>
      </w:pPr>
      <w:r w:rsidRPr="00733486">
        <w:rPr>
          <w:rFonts w:ascii="Times New Roman" w:hAnsi="Times New Roman" w:cs="Times New Roman"/>
          <w:bCs/>
          <w:iCs/>
          <w:spacing w:val="-4"/>
          <w:sz w:val="26"/>
          <w:szCs w:val="26"/>
          <w:lang w:val="af-ZA"/>
        </w:rPr>
        <w:t>Trong bối cảnh ngành xây dựng đang đẩy mạnh đầu tư công các công trình trọng điểm về giao thông và hạ tầng đô thị, lao động ngành xây dựng đang đứng trước sự thiếu hụt cả về số lượng và chất lượng, từ công nhân cho đến kỹ sư.</w:t>
      </w:r>
    </w:p>
    <w:p w14:paraId="621962BD" w14:textId="488F877C" w:rsidR="001A0885" w:rsidRDefault="001A0885" w:rsidP="00BD3E07">
      <w:pPr>
        <w:spacing w:after="0" w:line="336" w:lineRule="auto"/>
        <w:ind w:right="0" w:firstLine="567"/>
        <w:rPr>
          <w:rFonts w:ascii="Times New Roman" w:hAnsi="Times New Roman" w:cs="Times New Roman"/>
          <w:bCs/>
          <w:iCs/>
          <w:spacing w:val="-4"/>
          <w:sz w:val="26"/>
          <w:szCs w:val="26"/>
          <w:lang w:val="af-ZA"/>
        </w:rPr>
      </w:pPr>
      <w:r w:rsidRPr="00733486">
        <w:rPr>
          <w:rFonts w:ascii="Times New Roman" w:hAnsi="Times New Roman" w:cs="Times New Roman"/>
          <w:bCs/>
          <w:iCs/>
          <w:spacing w:val="-4"/>
          <w:sz w:val="26"/>
          <w:szCs w:val="26"/>
          <w:lang w:val="af-ZA"/>
        </w:rPr>
        <w:t>Nhiều dự án trọng điểm yêu cầu hoàn thành trong năm 2023, tạo áp lực cho nhà thầu thi công, cũng như đòi hỏi nhà thầu tăng thu nhập để thu hút lao động.</w:t>
      </w:r>
    </w:p>
    <w:p w14:paraId="3AF4044D" w14:textId="4A3A506D" w:rsidR="00D02888" w:rsidRPr="00CE56C4" w:rsidRDefault="00D02888" w:rsidP="00BD3E07">
      <w:pPr>
        <w:spacing w:after="0" w:line="336" w:lineRule="auto"/>
        <w:ind w:right="0" w:firstLine="567"/>
        <w:rPr>
          <w:rFonts w:ascii="Times New Roman" w:hAnsi="Times New Roman" w:cs="Times New Roman"/>
          <w:bCs/>
          <w:iCs/>
          <w:spacing w:val="-4"/>
          <w:sz w:val="26"/>
          <w:szCs w:val="26"/>
          <w:lang w:val="af-ZA"/>
        </w:rPr>
      </w:pPr>
      <w:r w:rsidRPr="00CE56C4">
        <w:rPr>
          <w:rFonts w:ascii="Times New Roman" w:hAnsi="Times New Roman" w:cs="Times New Roman"/>
          <w:bCs/>
          <w:iCs/>
          <w:spacing w:val="-4"/>
          <w:sz w:val="26"/>
          <w:szCs w:val="26"/>
          <w:lang w:val="af-ZA"/>
        </w:rPr>
        <w:t xml:space="preserve">Quý II/2023 có 9,5% doanh nghiệp nhận định lao động thường xuyên </w:t>
      </w:r>
      <w:r w:rsidR="00CE56C4">
        <w:rPr>
          <w:rFonts w:ascii="Times New Roman" w:hAnsi="Times New Roman" w:cs="Times New Roman"/>
          <w:bCs/>
          <w:iCs/>
          <w:spacing w:val="-4"/>
          <w:sz w:val="26"/>
          <w:szCs w:val="26"/>
          <w:lang w:val="af-ZA"/>
        </w:rPr>
        <w:t>và</w:t>
      </w:r>
      <w:r w:rsidRPr="00CE56C4">
        <w:rPr>
          <w:rFonts w:ascii="Times New Roman" w:hAnsi="Times New Roman" w:cs="Times New Roman"/>
          <w:bCs/>
          <w:iCs/>
          <w:spacing w:val="-4"/>
          <w:sz w:val="26"/>
          <w:szCs w:val="26"/>
          <w:lang w:val="af-ZA"/>
        </w:rPr>
        <w:t xml:space="preserve"> 19,3% doanh nghiệp nhận định lao động thời vụ tăng so với quý I/2023; 77,5% doanh nghiệp nhận định lao </w:t>
      </w:r>
      <w:r w:rsidRPr="00CE56C4">
        <w:rPr>
          <w:rFonts w:ascii="Times New Roman" w:hAnsi="Times New Roman" w:cs="Times New Roman"/>
          <w:bCs/>
          <w:iCs/>
          <w:spacing w:val="-4"/>
          <w:sz w:val="26"/>
          <w:szCs w:val="26"/>
          <w:lang w:val="af-ZA"/>
        </w:rPr>
        <w:lastRenderedPageBreak/>
        <w:t>động thường xuyên</w:t>
      </w:r>
      <w:r w:rsidR="00CE56C4">
        <w:rPr>
          <w:rFonts w:ascii="Times New Roman" w:hAnsi="Times New Roman" w:cs="Times New Roman"/>
          <w:bCs/>
          <w:iCs/>
          <w:spacing w:val="-4"/>
          <w:sz w:val="26"/>
          <w:szCs w:val="26"/>
          <w:lang w:val="af-ZA"/>
        </w:rPr>
        <w:t xml:space="preserve"> và </w:t>
      </w:r>
      <w:r w:rsidRPr="00CE56C4">
        <w:rPr>
          <w:rFonts w:ascii="Times New Roman" w:hAnsi="Times New Roman" w:cs="Times New Roman"/>
          <w:bCs/>
          <w:iCs/>
          <w:spacing w:val="-4"/>
          <w:sz w:val="26"/>
          <w:szCs w:val="26"/>
          <w:lang w:val="af-ZA"/>
        </w:rPr>
        <w:t xml:space="preserve">58,6% doanh nghiệp nhận định </w:t>
      </w:r>
      <w:r w:rsidR="00CE56C4" w:rsidRPr="00CE56C4">
        <w:rPr>
          <w:rFonts w:ascii="Times New Roman" w:hAnsi="Times New Roman" w:cs="Times New Roman"/>
          <w:bCs/>
          <w:iCs/>
          <w:spacing w:val="-4"/>
          <w:sz w:val="26"/>
          <w:szCs w:val="26"/>
          <w:lang w:val="af-ZA"/>
        </w:rPr>
        <w:t xml:space="preserve">lao động thời vụ  </w:t>
      </w:r>
      <w:r w:rsidRPr="00CE56C4">
        <w:rPr>
          <w:rFonts w:ascii="Times New Roman" w:hAnsi="Times New Roman" w:cs="Times New Roman"/>
          <w:bCs/>
          <w:iCs/>
          <w:spacing w:val="-4"/>
          <w:sz w:val="26"/>
          <w:szCs w:val="26"/>
          <w:lang w:val="af-ZA"/>
        </w:rPr>
        <w:t>không đổi</w:t>
      </w:r>
      <w:r w:rsidR="00CE56C4">
        <w:rPr>
          <w:rFonts w:ascii="Times New Roman" w:hAnsi="Times New Roman" w:cs="Times New Roman"/>
          <w:bCs/>
          <w:iCs/>
          <w:spacing w:val="-4"/>
          <w:sz w:val="26"/>
          <w:szCs w:val="26"/>
          <w:lang w:val="af-ZA"/>
        </w:rPr>
        <w:t xml:space="preserve">; </w:t>
      </w:r>
      <w:r w:rsidRPr="00CE56C4">
        <w:rPr>
          <w:rFonts w:ascii="Times New Roman" w:hAnsi="Times New Roman" w:cs="Times New Roman"/>
          <w:bCs/>
          <w:iCs/>
          <w:spacing w:val="-4"/>
          <w:sz w:val="26"/>
          <w:szCs w:val="26"/>
          <w:lang w:val="af-ZA"/>
        </w:rPr>
        <w:t xml:space="preserve">13,0% doanh nghiệp nhận </w:t>
      </w:r>
      <w:r w:rsidR="00CE56C4" w:rsidRPr="00CE56C4">
        <w:rPr>
          <w:rFonts w:ascii="Times New Roman" w:hAnsi="Times New Roman" w:cs="Times New Roman"/>
          <w:bCs/>
          <w:iCs/>
          <w:spacing w:val="-4"/>
          <w:sz w:val="26"/>
          <w:szCs w:val="26"/>
          <w:lang w:val="af-ZA"/>
        </w:rPr>
        <w:t>định lao động thường xuyên</w:t>
      </w:r>
      <w:r w:rsidR="00CE56C4">
        <w:rPr>
          <w:rFonts w:ascii="Times New Roman" w:hAnsi="Times New Roman" w:cs="Times New Roman"/>
          <w:bCs/>
          <w:iCs/>
          <w:spacing w:val="-4"/>
          <w:sz w:val="26"/>
          <w:szCs w:val="26"/>
          <w:lang w:val="af-ZA"/>
        </w:rPr>
        <w:t xml:space="preserve"> và</w:t>
      </w:r>
      <w:r w:rsidR="00CE56C4" w:rsidRPr="00CE56C4">
        <w:rPr>
          <w:rFonts w:ascii="Times New Roman" w:hAnsi="Times New Roman" w:cs="Times New Roman"/>
          <w:bCs/>
          <w:iCs/>
          <w:spacing w:val="-4"/>
          <w:sz w:val="26"/>
          <w:szCs w:val="26"/>
          <w:lang w:val="af-ZA"/>
        </w:rPr>
        <w:t xml:space="preserve"> 22,1% doanh nghiệp nhận định lao động thời vụ </w:t>
      </w:r>
      <w:r w:rsidRPr="00CE56C4">
        <w:rPr>
          <w:rFonts w:ascii="Times New Roman" w:hAnsi="Times New Roman" w:cs="Times New Roman"/>
          <w:bCs/>
          <w:iCs/>
          <w:spacing w:val="-4"/>
          <w:sz w:val="26"/>
          <w:szCs w:val="26"/>
          <w:lang w:val="af-ZA"/>
        </w:rPr>
        <w:t>giảm</w:t>
      </w:r>
      <w:r w:rsidR="00CE56C4" w:rsidRPr="00CE56C4">
        <w:rPr>
          <w:rFonts w:ascii="Times New Roman" w:hAnsi="Times New Roman" w:cs="Times New Roman"/>
          <w:bCs/>
          <w:iCs/>
          <w:spacing w:val="-4"/>
          <w:sz w:val="26"/>
          <w:szCs w:val="26"/>
          <w:lang w:val="af-ZA"/>
        </w:rPr>
        <w:t>.</w:t>
      </w:r>
    </w:p>
    <w:p w14:paraId="3FFE0FDB" w14:textId="77777777" w:rsidR="00D87312" w:rsidRPr="00733486" w:rsidRDefault="00D87312" w:rsidP="00BD3E07">
      <w:pPr>
        <w:spacing w:after="0" w:line="336" w:lineRule="auto"/>
        <w:ind w:right="-8" w:firstLine="0"/>
        <w:rPr>
          <w:rFonts w:ascii="Times New Roman" w:hAnsi="Times New Roman" w:cs="Times New Roman"/>
          <w:b/>
          <w:bCs/>
          <w:sz w:val="26"/>
          <w:szCs w:val="26"/>
          <w:lang w:val="pt-BR"/>
        </w:rPr>
      </w:pPr>
      <w:r w:rsidRPr="00733486">
        <w:rPr>
          <w:rFonts w:ascii="Times New Roman" w:hAnsi="Times New Roman" w:cs="Times New Roman"/>
          <w:b/>
          <w:bCs/>
          <w:i/>
          <w:sz w:val="26"/>
          <w:szCs w:val="26"/>
          <w:lang w:val="de-DE"/>
        </w:rPr>
        <w:t>II.1.1. Lực lượng lao động phân theo giới tính và theo khu vực</w:t>
      </w:r>
    </w:p>
    <w:p w14:paraId="10B31123" w14:textId="091F7170" w:rsidR="00D87312" w:rsidRPr="00733486" w:rsidRDefault="00B57E05" w:rsidP="00BD3E07">
      <w:pPr>
        <w:spacing w:after="0" w:line="336" w:lineRule="auto"/>
        <w:ind w:right="0" w:firstLine="567"/>
        <w:rPr>
          <w:rFonts w:ascii="Times New Roman" w:hAnsi="Times New Roman" w:cs="Times New Roman"/>
          <w:bCs/>
          <w:iCs/>
          <w:spacing w:val="-4"/>
          <w:sz w:val="26"/>
          <w:szCs w:val="26"/>
          <w:lang w:val="af-ZA"/>
        </w:rPr>
      </w:pPr>
      <w:r w:rsidRPr="00733486">
        <w:rPr>
          <w:rFonts w:ascii="Times New Roman" w:hAnsi="Times New Roman" w:cs="Times New Roman"/>
          <w:sz w:val="26"/>
          <w:szCs w:val="26"/>
          <w:lang w:val="de-DE"/>
        </w:rPr>
        <w:t xml:space="preserve">Lực lượng lao động toàn xã hội có xu hướng tăng, nhưng thị trường lao động vẫn còn nhiều khó khăn, do các doanh nghiệp thiếu </w:t>
      </w:r>
      <w:r w:rsidR="00167574" w:rsidRPr="00733486">
        <w:rPr>
          <w:rFonts w:ascii="Times New Roman" w:hAnsi="Times New Roman" w:cs="Times New Roman"/>
          <w:sz w:val="26"/>
          <w:szCs w:val="26"/>
          <w:lang w:val="de-DE"/>
        </w:rPr>
        <w:t>đơn hàng</w:t>
      </w:r>
      <w:r w:rsidRPr="00733486">
        <w:rPr>
          <w:rFonts w:ascii="Times New Roman" w:hAnsi="Times New Roman" w:cs="Times New Roman"/>
          <w:sz w:val="26"/>
          <w:szCs w:val="26"/>
          <w:lang w:val="de-DE"/>
        </w:rPr>
        <w:t xml:space="preserve">. Trong lĩnh vực xây dựng dân dựng do chịu ảnh hưởng của thị trường bất động sản đóng băng và sụt giảm, nên thị trường nhân công xây dựng dân dụng cũng bị ảnh hưởng tiêu cực, </w:t>
      </w:r>
      <w:r w:rsidR="004D52D7" w:rsidRPr="00733486">
        <w:rPr>
          <w:rFonts w:ascii="Times New Roman" w:hAnsi="Times New Roman" w:cs="Times New Roman"/>
          <w:sz w:val="26"/>
          <w:szCs w:val="26"/>
          <w:lang w:val="de-DE"/>
        </w:rPr>
        <w:t xml:space="preserve">dẫn đến </w:t>
      </w:r>
      <w:r w:rsidRPr="00733486">
        <w:rPr>
          <w:rFonts w:ascii="Times New Roman" w:hAnsi="Times New Roman" w:cs="Times New Roman"/>
          <w:sz w:val="26"/>
          <w:szCs w:val="26"/>
          <w:lang w:val="de-DE"/>
        </w:rPr>
        <w:t xml:space="preserve">tình trạng thiếu việc làm </w:t>
      </w:r>
      <w:r w:rsidR="004D52D7" w:rsidRPr="00733486">
        <w:rPr>
          <w:rFonts w:ascii="Times New Roman" w:hAnsi="Times New Roman" w:cs="Times New Roman"/>
          <w:sz w:val="26"/>
          <w:szCs w:val="26"/>
          <w:lang w:val="de-DE"/>
        </w:rPr>
        <w:t>của một số lao động phổ thông không có tay nghề</w:t>
      </w:r>
      <w:r w:rsidRPr="00733486">
        <w:rPr>
          <w:rFonts w:ascii="Times New Roman" w:hAnsi="Times New Roman" w:cs="Times New Roman"/>
          <w:sz w:val="26"/>
          <w:szCs w:val="26"/>
          <w:lang w:val="de-DE"/>
        </w:rPr>
        <w:t>. Tuy nhiên v</w:t>
      </w:r>
      <w:r w:rsidR="007A2093" w:rsidRPr="00733486">
        <w:rPr>
          <w:rFonts w:ascii="Times New Roman" w:hAnsi="Times New Roman" w:cs="Times New Roman"/>
          <w:sz w:val="26"/>
          <w:szCs w:val="26"/>
          <w:lang w:val="de-DE"/>
        </w:rPr>
        <w:t>ẫ</w:t>
      </w:r>
      <w:r w:rsidRPr="00733486">
        <w:rPr>
          <w:rFonts w:ascii="Times New Roman" w:hAnsi="Times New Roman" w:cs="Times New Roman"/>
          <w:sz w:val="26"/>
          <w:szCs w:val="26"/>
          <w:lang w:val="de-DE"/>
        </w:rPr>
        <w:t>n có điểm sáng</w:t>
      </w:r>
      <w:r w:rsidR="007A2093" w:rsidRPr="00733486">
        <w:rPr>
          <w:rFonts w:ascii="Times New Roman" w:hAnsi="Times New Roman" w:cs="Times New Roman"/>
          <w:sz w:val="26"/>
          <w:szCs w:val="26"/>
          <w:lang w:val="de-DE"/>
        </w:rPr>
        <w:t xml:space="preserve"> tích cực</w:t>
      </w:r>
      <w:r w:rsidRPr="00733486">
        <w:rPr>
          <w:rFonts w:ascii="Times New Roman" w:hAnsi="Times New Roman" w:cs="Times New Roman"/>
          <w:sz w:val="26"/>
          <w:szCs w:val="26"/>
          <w:lang w:val="de-DE"/>
        </w:rPr>
        <w:t xml:space="preserve"> trong lĩnh vực xây dựng công nghiệp và đặc biệt trong lĩnh vực xây dựng hạ tầng giao thông</w:t>
      </w:r>
      <w:r w:rsidR="004D52D7" w:rsidRPr="00733486">
        <w:rPr>
          <w:rFonts w:ascii="Times New Roman" w:hAnsi="Times New Roman" w:cs="Times New Roman"/>
          <w:sz w:val="26"/>
          <w:szCs w:val="26"/>
          <w:lang w:val="de-DE"/>
        </w:rPr>
        <w:t>, thì trường lao động trong mảng này hoạt động tương đối nhộn nhịp</w:t>
      </w:r>
      <w:r w:rsidR="007A2093" w:rsidRPr="00733486">
        <w:rPr>
          <w:rFonts w:ascii="Times New Roman" w:hAnsi="Times New Roman" w:cs="Times New Roman"/>
          <w:sz w:val="26"/>
          <w:szCs w:val="26"/>
          <w:lang w:val="de-DE"/>
        </w:rPr>
        <w:t>.</w:t>
      </w:r>
      <w:r w:rsidRPr="00733486">
        <w:rPr>
          <w:rFonts w:ascii="Times New Roman" w:hAnsi="Times New Roman" w:cs="Times New Roman"/>
          <w:sz w:val="26"/>
          <w:szCs w:val="26"/>
          <w:lang w:val="de-DE"/>
        </w:rPr>
        <w:t xml:space="preserve"> </w:t>
      </w:r>
    </w:p>
    <w:p w14:paraId="1D538251" w14:textId="029B7702" w:rsidR="00D87312" w:rsidRPr="00733486" w:rsidRDefault="00D87312" w:rsidP="00BD3E07">
      <w:pPr>
        <w:pStyle w:val="body-text"/>
        <w:shd w:val="clear" w:color="auto" w:fill="FFFFFF"/>
        <w:spacing w:before="0" w:beforeAutospacing="0" w:after="0" w:afterAutospacing="0" w:line="336" w:lineRule="auto"/>
        <w:ind w:firstLine="567"/>
        <w:jc w:val="center"/>
        <w:rPr>
          <w:spacing w:val="2"/>
          <w:sz w:val="26"/>
          <w:szCs w:val="26"/>
        </w:rPr>
      </w:pPr>
      <w:r w:rsidRPr="00733486">
        <w:rPr>
          <w:b/>
          <w:spacing w:val="2"/>
          <w:sz w:val="26"/>
          <w:szCs w:val="26"/>
        </w:rPr>
        <w:t>Bảng 1. Lực lượng lao động trực tiếp ngành xây dựng</w:t>
      </w:r>
    </w:p>
    <w:p w14:paraId="27BB0FB4" w14:textId="77777777" w:rsidR="00D87312" w:rsidRPr="00733486" w:rsidRDefault="00D87312" w:rsidP="00BD3E07">
      <w:pPr>
        <w:pStyle w:val="body-text"/>
        <w:shd w:val="clear" w:color="auto" w:fill="FFFFFF"/>
        <w:spacing w:before="0" w:beforeAutospacing="0" w:after="0" w:afterAutospacing="0" w:line="336" w:lineRule="auto"/>
        <w:ind w:firstLine="567"/>
        <w:jc w:val="center"/>
        <w:rPr>
          <w:i/>
          <w:iCs/>
          <w:spacing w:val="2"/>
          <w:sz w:val="26"/>
          <w:szCs w:val="26"/>
        </w:rPr>
      </w:pPr>
      <w:r w:rsidRPr="00733486">
        <w:rPr>
          <w:i/>
          <w:iCs/>
          <w:spacing w:val="2"/>
          <w:sz w:val="26"/>
          <w:szCs w:val="26"/>
        </w:rPr>
        <w:t xml:space="preserve">                                                                                        Đơn vị tính: triệu người</w:t>
      </w:r>
    </w:p>
    <w:tbl>
      <w:tblPr>
        <w:tblStyle w:val="GridTable6Colorful-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134"/>
        <w:gridCol w:w="2135"/>
        <w:gridCol w:w="2135"/>
      </w:tblGrid>
      <w:tr w:rsidR="00B57E05" w:rsidRPr="00733486" w14:paraId="1473F0F0" w14:textId="77777777" w:rsidTr="00A84024">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435" w:type="pct"/>
            <w:tcBorders>
              <w:bottom w:val="none" w:sz="0" w:space="0" w:color="auto"/>
            </w:tcBorders>
            <w:noWrap/>
            <w:hideMark/>
          </w:tcPr>
          <w:p w14:paraId="4E5641A9" w14:textId="77777777" w:rsidR="00B57E05" w:rsidRPr="00733486" w:rsidRDefault="00B57E05" w:rsidP="00BD3E07">
            <w:pPr>
              <w:pStyle w:val="body-text"/>
              <w:shd w:val="clear" w:color="auto" w:fill="FFFFFF"/>
              <w:spacing w:before="0" w:beforeAutospacing="0" w:after="0" w:afterAutospacing="0" w:line="336" w:lineRule="auto"/>
              <w:jc w:val="center"/>
              <w:rPr>
                <w:b w:val="0"/>
                <w:bCs w:val="0"/>
                <w:spacing w:val="2"/>
                <w:sz w:val="26"/>
                <w:szCs w:val="26"/>
              </w:rPr>
            </w:pPr>
            <w:r w:rsidRPr="00733486">
              <w:rPr>
                <w:spacing w:val="2"/>
                <w:sz w:val="26"/>
                <w:szCs w:val="26"/>
              </w:rPr>
              <w:t>Nội dung</w:t>
            </w:r>
          </w:p>
        </w:tc>
        <w:tc>
          <w:tcPr>
            <w:tcW w:w="1188" w:type="pct"/>
            <w:tcBorders>
              <w:bottom w:val="none" w:sz="0" w:space="0" w:color="auto"/>
            </w:tcBorders>
          </w:tcPr>
          <w:p w14:paraId="55578A0B" w14:textId="77777777" w:rsidR="00B57E05" w:rsidRPr="00733486" w:rsidRDefault="00B57E05" w:rsidP="00BD3E07">
            <w:pPr>
              <w:pStyle w:val="body-text"/>
              <w:shd w:val="clear" w:color="auto" w:fill="FFFFFF"/>
              <w:spacing w:before="0" w:beforeAutospacing="0" w:after="0" w:afterAutospacing="0" w:line="336" w:lineRule="auto"/>
              <w:ind w:hanging="74"/>
              <w:jc w:val="center"/>
              <w:cnfStyle w:val="100000000000" w:firstRow="1" w:lastRow="0" w:firstColumn="0" w:lastColumn="0" w:oddVBand="0" w:evenVBand="0" w:oddHBand="0" w:evenHBand="0" w:firstRowFirstColumn="0" w:firstRowLastColumn="0" w:lastRowFirstColumn="0" w:lastRowLastColumn="0"/>
              <w:rPr>
                <w:b w:val="0"/>
                <w:bCs w:val="0"/>
                <w:spacing w:val="2"/>
                <w:sz w:val="26"/>
                <w:szCs w:val="26"/>
              </w:rPr>
            </w:pPr>
            <w:r w:rsidRPr="00733486">
              <w:rPr>
                <w:spacing w:val="2"/>
                <w:sz w:val="26"/>
                <w:szCs w:val="26"/>
              </w:rPr>
              <w:t xml:space="preserve">6 tháng </w:t>
            </w:r>
          </w:p>
          <w:p w14:paraId="4FA904DE" w14:textId="1A57B4CB" w:rsidR="00B57E05" w:rsidRPr="00733486" w:rsidRDefault="00B57E05" w:rsidP="00BD3E07">
            <w:pPr>
              <w:pStyle w:val="body-text"/>
              <w:shd w:val="clear" w:color="auto" w:fill="FFFFFF"/>
              <w:spacing w:before="0" w:beforeAutospacing="0" w:after="0" w:afterAutospacing="0" w:line="336" w:lineRule="auto"/>
              <w:ind w:hanging="104"/>
              <w:jc w:val="center"/>
              <w:cnfStyle w:val="100000000000" w:firstRow="1" w:lastRow="0" w:firstColumn="0" w:lastColumn="0" w:oddVBand="0" w:evenVBand="0" w:oddHBand="0" w:evenHBand="0" w:firstRowFirstColumn="0" w:firstRowLastColumn="0" w:lastRowFirstColumn="0" w:lastRowLastColumn="0"/>
              <w:rPr>
                <w:b w:val="0"/>
                <w:bCs w:val="0"/>
                <w:spacing w:val="2"/>
                <w:sz w:val="26"/>
                <w:szCs w:val="26"/>
              </w:rPr>
            </w:pPr>
            <w:r w:rsidRPr="00733486">
              <w:rPr>
                <w:spacing w:val="2"/>
                <w:sz w:val="26"/>
                <w:szCs w:val="26"/>
              </w:rPr>
              <w:t>đầu năm 2022</w:t>
            </w:r>
          </w:p>
        </w:tc>
        <w:tc>
          <w:tcPr>
            <w:tcW w:w="1188" w:type="pct"/>
            <w:tcBorders>
              <w:bottom w:val="none" w:sz="0" w:space="0" w:color="auto"/>
            </w:tcBorders>
            <w:noWrap/>
            <w:hideMark/>
          </w:tcPr>
          <w:p w14:paraId="1F5E423D" w14:textId="77777777" w:rsidR="00B57E05" w:rsidRPr="00733486" w:rsidRDefault="00B57E05" w:rsidP="00BD3E07">
            <w:pPr>
              <w:pStyle w:val="body-text"/>
              <w:shd w:val="clear" w:color="auto" w:fill="FFFFFF"/>
              <w:spacing w:before="0" w:beforeAutospacing="0" w:after="0" w:afterAutospacing="0" w:line="336" w:lineRule="auto"/>
              <w:ind w:hanging="74"/>
              <w:jc w:val="center"/>
              <w:cnfStyle w:val="100000000000" w:firstRow="1" w:lastRow="0" w:firstColumn="0" w:lastColumn="0" w:oddVBand="0" w:evenVBand="0" w:oddHBand="0" w:evenHBand="0" w:firstRowFirstColumn="0" w:firstRowLastColumn="0" w:lastRowFirstColumn="0" w:lastRowLastColumn="0"/>
              <w:rPr>
                <w:b w:val="0"/>
                <w:bCs w:val="0"/>
                <w:spacing w:val="2"/>
                <w:sz w:val="26"/>
                <w:szCs w:val="26"/>
              </w:rPr>
            </w:pPr>
            <w:r w:rsidRPr="00733486">
              <w:rPr>
                <w:spacing w:val="2"/>
                <w:sz w:val="26"/>
                <w:szCs w:val="26"/>
              </w:rPr>
              <w:t xml:space="preserve">6 tháng </w:t>
            </w:r>
          </w:p>
          <w:p w14:paraId="2392105C" w14:textId="7E1FD814" w:rsidR="00B57E05" w:rsidRPr="00733486" w:rsidRDefault="00B57E05" w:rsidP="00BD3E07">
            <w:pPr>
              <w:pStyle w:val="body-text"/>
              <w:shd w:val="clear" w:color="auto" w:fill="FFFFFF"/>
              <w:spacing w:before="0" w:beforeAutospacing="0" w:after="0" w:afterAutospacing="0" w:line="336" w:lineRule="auto"/>
              <w:jc w:val="center"/>
              <w:cnfStyle w:val="100000000000" w:firstRow="1" w:lastRow="0" w:firstColumn="0" w:lastColumn="0" w:oddVBand="0" w:evenVBand="0" w:oddHBand="0" w:evenHBand="0" w:firstRowFirstColumn="0" w:firstRowLastColumn="0" w:lastRowFirstColumn="0" w:lastRowLastColumn="0"/>
              <w:rPr>
                <w:b w:val="0"/>
                <w:bCs w:val="0"/>
                <w:spacing w:val="2"/>
                <w:sz w:val="26"/>
                <w:szCs w:val="26"/>
              </w:rPr>
            </w:pPr>
            <w:r w:rsidRPr="00733486">
              <w:rPr>
                <w:spacing w:val="2"/>
                <w:sz w:val="26"/>
                <w:szCs w:val="26"/>
              </w:rPr>
              <w:t>cuối năm 2022</w:t>
            </w:r>
          </w:p>
        </w:tc>
        <w:tc>
          <w:tcPr>
            <w:tcW w:w="1188" w:type="pct"/>
            <w:tcBorders>
              <w:bottom w:val="none" w:sz="0" w:space="0" w:color="auto"/>
            </w:tcBorders>
            <w:noWrap/>
            <w:hideMark/>
          </w:tcPr>
          <w:p w14:paraId="358A5C55" w14:textId="77777777" w:rsidR="00B57E05" w:rsidRPr="00733486" w:rsidRDefault="00B57E05" w:rsidP="00BD3E07">
            <w:pPr>
              <w:pStyle w:val="body-text"/>
              <w:shd w:val="clear" w:color="auto" w:fill="FFFFFF"/>
              <w:spacing w:before="0" w:beforeAutospacing="0" w:after="0" w:afterAutospacing="0" w:line="336" w:lineRule="auto"/>
              <w:ind w:hanging="74"/>
              <w:jc w:val="center"/>
              <w:cnfStyle w:val="100000000000" w:firstRow="1" w:lastRow="0" w:firstColumn="0" w:lastColumn="0" w:oddVBand="0" w:evenVBand="0" w:oddHBand="0" w:evenHBand="0" w:firstRowFirstColumn="0" w:firstRowLastColumn="0" w:lastRowFirstColumn="0" w:lastRowLastColumn="0"/>
              <w:rPr>
                <w:b w:val="0"/>
                <w:bCs w:val="0"/>
                <w:spacing w:val="2"/>
                <w:sz w:val="26"/>
                <w:szCs w:val="26"/>
              </w:rPr>
            </w:pPr>
            <w:r w:rsidRPr="00733486">
              <w:rPr>
                <w:spacing w:val="2"/>
                <w:sz w:val="26"/>
                <w:szCs w:val="26"/>
              </w:rPr>
              <w:t xml:space="preserve">6 tháng </w:t>
            </w:r>
          </w:p>
          <w:p w14:paraId="18050A97" w14:textId="283F4730" w:rsidR="00B57E05" w:rsidRPr="00733486" w:rsidRDefault="00167574" w:rsidP="00BD3E07">
            <w:pPr>
              <w:pStyle w:val="body-text"/>
              <w:shd w:val="clear" w:color="auto" w:fill="FFFFFF"/>
              <w:spacing w:before="0" w:beforeAutospacing="0" w:after="0" w:afterAutospacing="0" w:line="336" w:lineRule="auto"/>
              <w:ind w:hanging="74"/>
              <w:jc w:val="center"/>
              <w:cnfStyle w:val="100000000000" w:firstRow="1" w:lastRow="0" w:firstColumn="0" w:lastColumn="0" w:oddVBand="0" w:evenVBand="0" w:oddHBand="0" w:evenHBand="0" w:firstRowFirstColumn="0" w:firstRowLastColumn="0" w:lastRowFirstColumn="0" w:lastRowLastColumn="0"/>
              <w:rPr>
                <w:b w:val="0"/>
                <w:bCs w:val="0"/>
                <w:spacing w:val="2"/>
                <w:sz w:val="26"/>
                <w:szCs w:val="26"/>
              </w:rPr>
            </w:pPr>
            <w:r w:rsidRPr="00733486">
              <w:rPr>
                <w:spacing w:val="2"/>
                <w:sz w:val="26"/>
                <w:szCs w:val="26"/>
              </w:rPr>
              <w:t xml:space="preserve">đầu năm </w:t>
            </w:r>
            <w:r w:rsidR="00B57E05" w:rsidRPr="00733486">
              <w:rPr>
                <w:spacing w:val="2"/>
                <w:sz w:val="26"/>
                <w:szCs w:val="26"/>
              </w:rPr>
              <w:t>202</w:t>
            </w:r>
            <w:r w:rsidRPr="00733486">
              <w:rPr>
                <w:spacing w:val="2"/>
                <w:sz w:val="26"/>
                <w:szCs w:val="26"/>
              </w:rPr>
              <w:t>3</w:t>
            </w:r>
          </w:p>
        </w:tc>
      </w:tr>
      <w:tr w:rsidR="00B57E05" w:rsidRPr="00733486" w14:paraId="1BA09C83" w14:textId="77777777" w:rsidTr="00A840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5" w:type="pct"/>
            <w:noWrap/>
            <w:hideMark/>
          </w:tcPr>
          <w:p w14:paraId="3EEEF5DD" w14:textId="77777777" w:rsidR="00B57E05" w:rsidRPr="00733486" w:rsidRDefault="00B57E05"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 xml:space="preserve">LLLĐ ngành  xây dựng </w:t>
            </w:r>
          </w:p>
        </w:tc>
        <w:tc>
          <w:tcPr>
            <w:tcW w:w="1188" w:type="pct"/>
          </w:tcPr>
          <w:p w14:paraId="705AEE7B" w14:textId="7DDA0F73" w:rsidR="00B57E05" w:rsidRPr="00733486" w:rsidRDefault="00B57E05" w:rsidP="00BD3E07">
            <w:pPr>
              <w:pStyle w:val="body-text"/>
              <w:shd w:val="clear" w:color="auto" w:fill="FFFFFF"/>
              <w:spacing w:before="0" w:beforeAutospacing="0" w:after="0" w:afterAutospacing="0" w:line="336" w:lineRule="auto"/>
              <w:jc w:val="center"/>
              <w:cnfStyle w:val="000000100000" w:firstRow="0" w:lastRow="0" w:firstColumn="0" w:lastColumn="0" w:oddVBand="0" w:evenVBand="0" w:oddHBand="1" w:evenHBand="0" w:firstRowFirstColumn="0" w:firstRowLastColumn="0" w:lastRowFirstColumn="0" w:lastRowLastColumn="0"/>
              <w:rPr>
                <w:spacing w:val="2"/>
                <w:sz w:val="26"/>
                <w:szCs w:val="26"/>
              </w:rPr>
            </w:pPr>
            <w:r w:rsidRPr="00733486">
              <w:rPr>
                <w:spacing w:val="2"/>
                <w:sz w:val="26"/>
                <w:szCs w:val="26"/>
              </w:rPr>
              <w:t>2,42</w:t>
            </w:r>
          </w:p>
        </w:tc>
        <w:tc>
          <w:tcPr>
            <w:tcW w:w="1188" w:type="pct"/>
            <w:noWrap/>
          </w:tcPr>
          <w:p w14:paraId="6B7BE4A9" w14:textId="6D8F63A7" w:rsidR="00B57E05" w:rsidRPr="00733486" w:rsidRDefault="00B57E05" w:rsidP="00BD3E07">
            <w:pPr>
              <w:pStyle w:val="body-text"/>
              <w:shd w:val="clear" w:color="auto" w:fill="FFFFFF"/>
              <w:spacing w:before="0" w:beforeAutospacing="0" w:after="0" w:afterAutospacing="0" w:line="336" w:lineRule="auto"/>
              <w:jc w:val="center"/>
              <w:cnfStyle w:val="000000100000" w:firstRow="0" w:lastRow="0" w:firstColumn="0" w:lastColumn="0" w:oddVBand="0" w:evenVBand="0" w:oddHBand="1" w:evenHBand="0" w:firstRowFirstColumn="0" w:firstRowLastColumn="0" w:lastRowFirstColumn="0" w:lastRowLastColumn="0"/>
              <w:rPr>
                <w:spacing w:val="2"/>
                <w:sz w:val="26"/>
                <w:szCs w:val="26"/>
              </w:rPr>
            </w:pPr>
            <w:r w:rsidRPr="00733486">
              <w:rPr>
                <w:spacing w:val="2"/>
                <w:sz w:val="26"/>
                <w:szCs w:val="26"/>
              </w:rPr>
              <w:t>2,55</w:t>
            </w:r>
          </w:p>
        </w:tc>
        <w:tc>
          <w:tcPr>
            <w:tcW w:w="1188" w:type="pct"/>
            <w:noWrap/>
          </w:tcPr>
          <w:p w14:paraId="0B000A87" w14:textId="1D3E3EFC" w:rsidR="00B57E05" w:rsidRPr="00733486" w:rsidRDefault="00B57E05" w:rsidP="00BD3E07">
            <w:pPr>
              <w:pStyle w:val="body-text"/>
              <w:shd w:val="clear" w:color="auto" w:fill="FFFFFF"/>
              <w:spacing w:before="0" w:beforeAutospacing="0" w:after="0" w:afterAutospacing="0" w:line="336" w:lineRule="auto"/>
              <w:jc w:val="center"/>
              <w:cnfStyle w:val="000000100000" w:firstRow="0" w:lastRow="0" w:firstColumn="0" w:lastColumn="0" w:oddVBand="0" w:evenVBand="0" w:oddHBand="1" w:evenHBand="0" w:firstRowFirstColumn="0" w:firstRowLastColumn="0" w:lastRowFirstColumn="0" w:lastRowLastColumn="0"/>
              <w:rPr>
                <w:spacing w:val="2"/>
                <w:sz w:val="26"/>
                <w:szCs w:val="26"/>
              </w:rPr>
            </w:pPr>
            <w:r w:rsidRPr="00733486">
              <w:rPr>
                <w:spacing w:val="2"/>
                <w:sz w:val="26"/>
                <w:szCs w:val="26"/>
              </w:rPr>
              <w:t>2,5</w:t>
            </w:r>
            <w:r w:rsidR="00167574" w:rsidRPr="00733486">
              <w:rPr>
                <w:spacing w:val="2"/>
                <w:sz w:val="26"/>
                <w:szCs w:val="26"/>
              </w:rPr>
              <w:t>6</w:t>
            </w:r>
          </w:p>
        </w:tc>
      </w:tr>
      <w:tr w:rsidR="00B57E05" w:rsidRPr="00733486" w14:paraId="08B9A70F" w14:textId="77777777" w:rsidTr="00A84024">
        <w:trPr>
          <w:trHeight w:val="510"/>
        </w:trPr>
        <w:tc>
          <w:tcPr>
            <w:cnfStyle w:val="001000000000" w:firstRow="0" w:lastRow="0" w:firstColumn="1" w:lastColumn="0" w:oddVBand="0" w:evenVBand="0" w:oddHBand="0" w:evenHBand="0" w:firstRowFirstColumn="0" w:firstRowLastColumn="0" w:lastRowFirstColumn="0" w:lastRowLastColumn="0"/>
            <w:tcW w:w="1435" w:type="pct"/>
            <w:noWrap/>
            <w:hideMark/>
          </w:tcPr>
          <w:p w14:paraId="7BA0FB4B" w14:textId="77777777" w:rsidR="00B57E05" w:rsidRPr="00733486" w:rsidRDefault="00B57E05" w:rsidP="00BD3E07">
            <w:pPr>
              <w:pStyle w:val="body-text"/>
              <w:shd w:val="clear" w:color="auto" w:fill="FFFFFF"/>
              <w:spacing w:before="0" w:beforeAutospacing="0" w:after="0" w:afterAutospacing="0" w:line="336" w:lineRule="auto"/>
              <w:ind w:firstLine="567"/>
              <w:rPr>
                <w:spacing w:val="2"/>
                <w:sz w:val="26"/>
                <w:szCs w:val="26"/>
              </w:rPr>
            </w:pPr>
            <w:r w:rsidRPr="00733486">
              <w:rPr>
                <w:spacing w:val="2"/>
                <w:sz w:val="26"/>
                <w:szCs w:val="26"/>
              </w:rPr>
              <w:t>- Nam</w:t>
            </w:r>
          </w:p>
        </w:tc>
        <w:tc>
          <w:tcPr>
            <w:tcW w:w="1188" w:type="pct"/>
          </w:tcPr>
          <w:p w14:paraId="69D564CE" w14:textId="5A775260" w:rsidR="00B57E05" w:rsidRPr="00733486" w:rsidRDefault="00B57E05" w:rsidP="00BD3E07">
            <w:pPr>
              <w:pStyle w:val="body-text"/>
              <w:shd w:val="clear" w:color="auto" w:fill="FFFFFF"/>
              <w:spacing w:before="0" w:beforeAutospacing="0" w:after="0" w:afterAutospacing="0" w:line="336" w:lineRule="auto"/>
              <w:jc w:val="center"/>
              <w:cnfStyle w:val="000000000000" w:firstRow="0" w:lastRow="0" w:firstColumn="0" w:lastColumn="0" w:oddVBand="0" w:evenVBand="0" w:oddHBand="0" w:evenHBand="0" w:firstRowFirstColumn="0" w:firstRowLastColumn="0" w:lastRowFirstColumn="0" w:lastRowLastColumn="0"/>
              <w:rPr>
                <w:spacing w:val="2"/>
                <w:sz w:val="26"/>
                <w:szCs w:val="26"/>
              </w:rPr>
            </w:pPr>
            <w:r w:rsidRPr="00733486">
              <w:rPr>
                <w:spacing w:val="2"/>
                <w:sz w:val="26"/>
                <w:szCs w:val="26"/>
              </w:rPr>
              <w:t>1,60</w:t>
            </w:r>
          </w:p>
        </w:tc>
        <w:tc>
          <w:tcPr>
            <w:tcW w:w="1188" w:type="pct"/>
            <w:noWrap/>
          </w:tcPr>
          <w:p w14:paraId="3A8916B7" w14:textId="509DD911" w:rsidR="00B57E05" w:rsidRPr="00733486" w:rsidRDefault="00B57E05" w:rsidP="00BD3E07">
            <w:pPr>
              <w:pStyle w:val="body-text"/>
              <w:shd w:val="clear" w:color="auto" w:fill="FFFFFF"/>
              <w:spacing w:before="0" w:beforeAutospacing="0" w:after="0" w:afterAutospacing="0" w:line="336" w:lineRule="auto"/>
              <w:jc w:val="center"/>
              <w:cnfStyle w:val="000000000000" w:firstRow="0" w:lastRow="0" w:firstColumn="0" w:lastColumn="0" w:oddVBand="0" w:evenVBand="0" w:oddHBand="0" w:evenHBand="0" w:firstRowFirstColumn="0" w:firstRowLastColumn="0" w:lastRowFirstColumn="0" w:lastRowLastColumn="0"/>
              <w:rPr>
                <w:spacing w:val="2"/>
                <w:sz w:val="26"/>
                <w:szCs w:val="26"/>
              </w:rPr>
            </w:pPr>
            <w:r w:rsidRPr="00733486">
              <w:rPr>
                <w:spacing w:val="2"/>
                <w:sz w:val="26"/>
                <w:szCs w:val="26"/>
              </w:rPr>
              <w:t>1,73</w:t>
            </w:r>
          </w:p>
        </w:tc>
        <w:tc>
          <w:tcPr>
            <w:tcW w:w="1188" w:type="pct"/>
            <w:noWrap/>
          </w:tcPr>
          <w:p w14:paraId="38394931" w14:textId="46F857A5" w:rsidR="00B57E05" w:rsidRPr="00733486" w:rsidRDefault="00B57E05" w:rsidP="00BD3E07">
            <w:pPr>
              <w:pStyle w:val="body-text"/>
              <w:shd w:val="clear" w:color="auto" w:fill="FFFFFF"/>
              <w:spacing w:before="0" w:beforeAutospacing="0" w:after="0" w:afterAutospacing="0" w:line="336" w:lineRule="auto"/>
              <w:jc w:val="center"/>
              <w:cnfStyle w:val="000000000000" w:firstRow="0" w:lastRow="0" w:firstColumn="0" w:lastColumn="0" w:oddVBand="0" w:evenVBand="0" w:oddHBand="0" w:evenHBand="0" w:firstRowFirstColumn="0" w:firstRowLastColumn="0" w:lastRowFirstColumn="0" w:lastRowLastColumn="0"/>
              <w:rPr>
                <w:spacing w:val="2"/>
                <w:sz w:val="26"/>
                <w:szCs w:val="26"/>
              </w:rPr>
            </w:pPr>
            <w:r w:rsidRPr="00733486">
              <w:rPr>
                <w:spacing w:val="2"/>
                <w:sz w:val="26"/>
                <w:szCs w:val="26"/>
              </w:rPr>
              <w:t>1,7</w:t>
            </w:r>
            <w:r w:rsidR="004D52D7" w:rsidRPr="00733486">
              <w:rPr>
                <w:spacing w:val="2"/>
                <w:sz w:val="26"/>
                <w:szCs w:val="26"/>
              </w:rPr>
              <w:t>4</w:t>
            </w:r>
          </w:p>
        </w:tc>
      </w:tr>
      <w:tr w:rsidR="00B57E05" w:rsidRPr="00733486" w14:paraId="47CC1E4B" w14:textId="77777777" w:rsidTr="00A840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35" w:type="pct"/>
            <w:noWrap/>
            <w:hideMark/>
          </w:tcPr>
          <w:p w14:paraId="554A9E26" w14:textId="77777777" w:rsidR="00B57E05" w:rsidRPr="00733486" w:rsidRDefault="00B57E05" w:rsidP="00BD3E07">
            <w:pPr>
              <w:pStyle w:val="body-text"/>
              <w:shd w:val="clear" w:color="auto" w:fill="FFFFFF"/>
              <w:spacing w:before="0" w:beforeAutospacing="0" w:after="0" w:afterAutospacing="0" w:line="336" w:lineRule="auto"/>
              <w:ind w:firstLine="567"/>
              <w:rPr>
                <w:spacing w:val="2"/>
                <w:sz w:val="26"/>
                <w:szCs w:val="26"/>
              </w:rPr>
            </w:pPr>
            <w:r w:rsidRPr="00733486">
              <w:rPr>
                <w:spacing w:val="2"/>
                <w:sz w:val="26"/>
                <w:szCs w:val="26"/>
              </w:rPr>
              <w:t>- Nữ</w:t>
            </w:r>
          </w:p>
        </w:tc>
        <w:tc>
          <w:tcPr>
            <w:tcW w:w="1188" w:type="pct"/>
          </w:tcPr>
          <w:p w14:paraId="2AA1FE62" w14:textId="78211544" w:rsidR="00B57E05" w:rsidRPr="00733486" w:rsidRDefault="00B57E05" w:rsidP="00BD3E07">
            <w:pPr>
              <w:pStyle w:val="body-text"/>
              <w:shd w:val="clear" w:color="auto" w:fill="FFFFFF"/>
              <w:spacing w:before="0" w:beforeAutospacing="0" w:after="0" w:afterAutospacing="0" w:line="336" w:lineRule="auto"/>
              <w:jc w:val="center"/>
              <w:cnfStyle w:val="000000100000" w:firstRow="0" w:lastRow="0" w:firstColumn="0" w:lastColumn="0" w:oddVBand="0" w:evenVBand="0" w:oddHBand="1" w:evenHBand="0" w:firstRowFirstColumn="0" w:firstRowLastColumn="0" w:lastRowFirstColumn="0" w:lastRowLastColumn="0"/>
              <w:rPr>
                <w:spacing w:val="2"/>
                <w:sz w:val="26"/>
                <w:szCs w:val="26"/>
              </w:rPr>
            </w:pPr>
            <w:r w:rsidRPr="00733486">
              <w:rPr>
                <w:spacing w:val="2"/>
                <w:sz w:val="26"/>
                <w:szCs w:val="26"/>
              </w:rPr>
              <w:t>0,82</w:t>
            </w:r>
          </w:p>
        </w:tc>
        <w:tc>
          <w:tcPr>
            <w:tcW w:w="1188" w:type="pct"/>
            <w:noWrap/>
          </w:tcPr>
          <w:p w14:paraId="23A8C2A1" w14:textId="499BCC9E" w:rsidR="00B57E05" w:rsidRPr="00733486" w:rsidRDefault="00B57E05" w:rsidP="00BD3E07">
            <w:pPr>
              <w:pStyle w:val="body-text"/>
              <w:shd w:val="clear" w:color="auto" w:fill="FFFFFF"/>
              <w:spacing w:before="0" w:beforeAutospacing="0" w:after="0" w:afterAutospacing="0" w:line="336" w:lineRule="auto"/>
              <w:jc w:val="center"/>
              <w:cnfStyle w:val="000000100000" w:firstRow="0" w:lastRow="0" w:firstColumn="0" w:lastColumn="0" w:oddVBand="0" w:evenVBand="0" w:oddHBand="1" w:evenHBand="0" w:firstRowFirstColumn="0" w:firstRowLastColumn="0" w:lastRowFirstColumn="0" w:lastRowLastColumn="0"/>
              <w:rPr>
                <w:spacing w:val="2"/>
                <w:sz w:val="26"/>
                <w:szCs w:val="26"/>
              </w:rPr>
            </w:pPr>
            <w:r w:rsidRPr="00733486">
              <w:rPr>
                <w:spacing w:val="2"/>
                <w:sz w:val="26"/>
                <w:szCs w:val="26"/>
              </w:rPr>
              <w:t>0,83</w:t>
            </w:r>
          </w:p>
        </w:tc>
        <w:tc>
          <w:tcPr>
            <w:tcW w:w="1188" w:type="pct"/>
            <w:noWrap/>
          </w:tcPr>
          <w:p w14:paraId="1C3F69D7" w14:textId="37BB46B8" w:rsidR="00B57E05" w:rsidRPr="00733486" w:rsidRDefault="00B57E05" w:rsidP="00BD3E07">
            <w:pPr>
              <w:pStyle w:val="body-text"/>
              <w:shd w:val="clear" w:color="auto" w:fill="FFFFFF"/>
              <w:spacing w:before="0" w:beforeAutospacing="0" w:after="0" w:afterAutospacing="0" w:line="336" w:lineRule="auto"/>
              <w:jc w:val="center"/>
              <w:cnfStyle w:val="000000100000" w:firstRow="0" w:lastRow="0" w:firstColumn="0" w:lastColumn="0" w:oddVBand="0" w:evenVBand="0" w:oddHBand="1" w:evenHBand="0" w:firstRowFirstColumn="0" w:firstRowLastColumn="0" w:lastRowFirstColumn="0" w:lastRowLastColumn="0"/>
              <w:rPr>
                <w:spacing w:val="2"/>
                <w:sz w:val="26"/>
                <w:szCs w:val="26"/>
              </w:rPr>
            </w:pPr>
            <w:r w:rsidRPr="00733486">
              <w:rPr>
                <w:spacing w:val="2"/>
                <w:sz w:val="26"/>
                <w:szCs w:val="26"/>
              </w:rPr>
              <w:t>0,8</w:t>
            </w:r>
            <w:r w:rsidR="00167574" w:rsidRPr="00733486">
              <w:rPr>
                <w:spacing w:val="2"/>
                <w:sz w:val="26"/>
                <w:szCs w:val="26"/>
              </w:rPr>
              <w:t>2</w:t>
            </w:r>
          </w:p>
        </w:tc>
      </w:tr>
      <w:tr w:rsidR="00B57E05" w:rsidRPr="00733486" w14:paraId="0CD76EB3" w14:textId="77777777" w:rsidTr="00A84024">
        <w:trPr>
          <w:trHeight w:val="510"/>
        </w:trPr>
        <w:tc>
          <w:tcPr>
            <w:cnfStyle w:val="001000000000" w:firstRow="0" w:lastRow="0" w:firstColumn="1" w:lastColumn="0" w:oddVBand="0" w:evenVBand="0" w:oddHBand="0" w:evenHBand="0" w:firstRowFirstColumn="0" w:firstRowLastColumn="0" w:lastRowFirstColumn="0" w:lastRowLastColumn="0"/>
            <w:tcW w:w="1435" w:type="pct"/>
            <w:noWrap/>
            <w:hideMark/>
          </w:tcPr>
          <w:p w14:paraId="7CB2FE21" w14:textId="77777777" w:rsidR="00B57E05" w:rsidRPr="00733486" w:rsidRDefault="00B57E05" w:rsidP="00BD3E07">
            <w:pPr>
              <w:pStyle w:val="body-text"/>
              <w:shd w:val="clear" w:color="auto" w:fill="FFFFFF"/>
              <w:spacing w:before="0" w:beforeAutospacing="0" w:after="0" w:afterAutospacing="0" w:line="336" w:lineRule="auto"/>
              <w:ind w:firstLine="567"/>
              <w:rPr>
                <w:spacing w:val="2"/>
                <w:sz w:val="26"/>
                <w:szCs w:val="26"/>
              </w:rPr>
            </w:pPr>
            <w:r w:rsidRPr="00733486">
              <w:rPr>
                <w:spacing w:val="2"/>
                <w:sz w:val="26"/>
                <w:szCs w:val="26"/>
              </w:rPr>
              <w:t>- Thành thị</w:t>
            </w:r>
          </w:p>
        </w:tc>
        <w:tc>
          <w:tcPr>
            <w:tcW w:w="1188" w:type="pct"/>
          </w:tcPr>
          <w:p w14:paraId="79CC44DA" w14:textId="675FD7D3" w:rsidR="00B57E05" w:rsidRPr="00733486" w:rsidRDefault="00B57E05" w:rsidP="00BD3E07">
            <w:pPr>
              <w:pStyle w:val="body-text"/>
              <w:shd w:val="clear" w:color="auto" w:fill="FFFFFF"/>
              <w:spacing w:before="0" w:beforeAutospacing="0" w:after="0" w:afterAutospacing="0" w:line="336" w:lineRule="auto"/>
              <w:jc w:val="center"/>
              <w:cnfStyle w:val="000000000000" w:firstRow="0" w:lastRow="0" w:firstColumn="0" w:lastColumn="0" w:oddVBand="0" w:evenVBand="0" w:oddHBand="0" w:evenHBand="0" w:firstRowFirstColumn="0" w:firstRowLastColumn="0" w:lastRowFirstColumn="0" w:lastRowLastColumn="0"/>
              <w:rPr>
                <w:spacing w:val="2"/>
                <w:sz w:val="26"/>
                <w:szCs w:val="26"/>
              </w:rPr>
            </w:pPr>
            <w:r w:rsidRPr="00733486">
              <w:rPr>
                <w:spacing w:val="2"/>
                <w:sz w:val="26"/>
                <w:szCs w:val="26"/>
              </w:rPr>
              <w:t>0,96</w:t>
            </w:r>
          </w:p>
        </w:tc>
        <w:tc>
          <w:tcPr>
            <w:tcW w:w="1188" w:type="pct"/>
            <w:noWrap/>
          </w:tcPr>
          <w:p w14:paraId="2C7A4B9E" w14:textId="69C4526D" w:rsidR="00B57E05" w:rsidRPr="00733486" w:rsidRDefault="00B57E05" w:rsidP="00BD3E07">
            <w:pPr>
              <w:pStyle w:val="body-text"/>
              <w:shd w:val="clear" w:color="auto" w:fill="FFFFFF"/>
              <w:spacing w:before="0" w:beforeAutospacing="0" w:after="0" w:afterAutospacing="0" w:line="336" w:lineRule="auto"/>
              <w:jc w:val="center"/>
              <w:cnfStyle w:val="000000000000" w:firstRow="0" w:lastRow="0" w:firstColumn="0" w:lastColumn="0" w:oddVBand="0" w:evenVBand="0" w:oddHBand="0" w:evenHBand="0" w:firstRowFirstColumn="0" w:firstRowLastColumn="0" w:lastRowFirstColumn="0" w:lastRowLastColumn="0"/>
              <w:rPr>
                <w:spacing w:val="2"/>
                <w:sz w:val="26"/>
                <w:szCs w:val="26"/>
              </w:rPr>
            </w:pPr>
            <w:r w:rsidRPr="00733486">
              <w:rPr>
                <w:spacing w:val="2"/>
                <w:sz w:val="26"/>
                <w:szCs w:val="26"/>
              </w:rPr>
              <w:t>0,98</w:t>
            </w:r>
          </w:p>
        </w:tc>
        <w:tc>
          <w:tcPr>
            <w:tcW w:w="1188" w:type="pct"/>
            <w:noWrap/>
          </w:tcPr>
          <w:p w14:paraId="6AB3BFF1" w14:textId="05DD6034" w:rsidR="00B57E05" w:rsidRPr="00733486" w:rsidRDefault="00B57E05" w:rsidP="00BD3E07">
            <w:pPr>
              <w:pStyle w:val="body-text"/>
              <w:shd w:val="clear" w:color="auto" w:fill="FFFFFF"/>
              <w:spacing w:before="0" w:beforeAutospacing="0" w:after="0" w:afterAutospacing="0" w:line="336" w:lineRule="auto"/>
              <w:jc w:val="center"/>
              <w:cnfStyle w:val="000000000000" w:firstRow="0" w:lastRow="0" w:firstColumn="0" w:lastColumn="0" w:oddVBand="0" w:evenVBand="0" w:oddHBand="0" w:evenHBand="0" w:firstRowFirstColumn="0" w:firstRowLastColumn="0" w:lastRowFirstColumn="0" w:lastRowLastColumn="0"/>
              <w:rPr>
                <w:spacing w:val="2"/>
                <w:sz w:val="26"/>
                <w:szCs w:val="26"/>
              </w:rPr>
            </w:pPr>
            <w:r w:rsidRPr="00733486">
              <w:rPr>
                <w:spacing w:val="2"/>
                <w:sz w:val="26"/>
                <w:szCs w:val="26"/>
              </w:rPr>
              <w:t>0,9</w:t>
            </w:r>
            <w:r w:rsidR="004D52D7" w:rsidRPr="00733486">
              <w:rPr>
                <w:spacing w:val="2"/>
                <w:sz w:val="26"/>
                <w:szCs w:val="26"/>
              </w:rPr>
              <w:t>9</w:t>
            </w:r>
          </w:p>
        </w:tc>
      </w:tr>
      <w:tr w:rsidR="00B57E05" w:rsidRPr="00733486" w14:paraId="5F54E73B" w14:textId="77777777" w:rsidTr="00A8402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435" w:type="pct"/>
            <w:noWrap/>
            <w:hideMark/>
          </w:tcPr>
          <w:p w14:paraId="3FBE7CF4" w14:textId="77777777" w:rsidR="00B57E05" w:rsidRPr="00733486" w:rsidRDefault="00B57E05" w:rsidP="00BD3E07">
            <w:pPr>
              <w:pStyle w:val="body-text"/>
              <w:shd w:val="clear" w:color="auto" w:fill="FFFFFF"/>
              <w:spacing w:before="0" w:beforeAutospacing="0" w:after="0" w:afterAutospacing="0" w:line="336" w:lineRule="auto"/>
              <w:ind w:firstLine="567"/>
              <w:rPr>
                <w:spacing w:val="2"/>
                <w:sz w:val="26"/>
                <w:szCs w:val="26"/>
              </w:rPr>
            </w:pPr>
            <w:r w:rsidRPr="00733486">
              <w:rPr>
                <w:spacing w:val="2"/>
                <w:sz w:val="26"/>
                <w:szCs w:val="26"/>
              </w:rPr>
              <w:t>- Nông thôn</w:t>
            </w:r>
          </w:p>
        </w:tc>
        <w:tc>
          <w:tcPr>
            <w:tcW w:w="1188" w:type="pct"/>
          </w:tcPr>
          <w:p w14:paraId="09CC71C3" w14:textId="7542F9A1" w:rsidR="00B57E05" w:rsidRPr="00733486" w:rsidRDefault="00B57E05" w:rsidP="00BD3E07">
            <w:pPr>
              <w:pStyle w:val="body-text"/>
              <w:shd w:val="clear" w:color="auto" w:fill="FFFFFF"/>
              <w:spacing w:before="0" w:beforeAutospacing="0" w:after="0" w:afterAutospacing="0" w:line="336" w:lineRule="auto"/>
              <w:jc w:val="center"/>
              <w:cnfStyle w:val="000000100000" w:firstRow="0" w:lastRow="0" w:firstColumn="0" w:lastColumn="0" w:oddVBand="0" w:evenVBand="0" w:oddHBand="1" w:evenHBand="0" w:firstRowFirstColumn="0" w:firstRowLastColumn="0" w:lastRowFirstColumn="0" w:lastRowLastColumn="0"/>
              <w:rPr>
                <w:spacing w:val="2"/>
                <w:sz w:val="26"/>
                <w:szCs w:val="26"/>
              </w:rPr>
            </w:pPr>
            <w:r w:rsidRPr="00733486">
              <w:rPr>
                <w:spacing w:val="2"/>
                <w:sz w:val="26"/>
                <w:szCs w:val="26"/>
              </w:rPr>
              <w:t>1,46</w:t>
            </w:r>
          </w:p>
        </w:tc>
        <w:tc>
          <w:tcPr>
            <w:tcW w:w="1188" w:type="pct"/>
            <w:noWrap/>
          </w:tcPr>
          <w:p w14:paraId="03350682" w14:textId="44783CED" w:rsidR="00B57E05" w:rsidRPr="00733486" w:rsidRDefault="00B57E05" w:rsidP="00BD3E07">
            <w:pPr>
              <w:pStyle w:val="body-text"/>
              <w:shd w:val="clear" w:color="auto" w:fill="FFFFFF"/>
              <w:spacing w:before="0" w:beforeAutospacing="0" w:after="0" w:afterAutospacing="0" w:line="336" w:lineRule="auto"/>
              <w:jc w:val="center"/>
              <w:cnfStyle w:val="000000100000" w:firstRow="0" w:lastRow="0" w:firstColumn="0" w:lastColumn="0" w:oddVBand="0" w:evenVBand="0" w:oddHBand="1" w:evenHBand="0" w:firstRowFirstColumn="0" w:firstRowLastColumn="0" w:lastRowFirstColumn="0" w:lastRowLastColumn="0"/>
              <w:rPr>
                <w:spacing w:val="2"/>
                <w:sz w:val="26"/>
                <w:szCs w:val="26"/>
              </w:rPr>
            </w:pPr>
            <w:r w:rsidRPr="00733486">
              <w:rPr>
                <w:spacing w:val="2"/>
                <w:sz w:val="26"/>
                <w:szCs w:val="26"/>
              </w:rPr>
              <w:t>1,58</w:t>
            </w:r>
          </w:p>
        </w:tc>
        <w:tc>
          <w:tcPr>
            <w:tcW w:w="1188" w:type="pct"/>
            <w:noWrap/>
          </w:tcPr>
          <w:p w14:paraId="24475357" w14:textId="36516BDC" w:rsidR="00B57E05" w:rsidRPr="00733486" w:rsidRDefault="00B57E05" w:rsidP="00BD3E07">
            <w:pPr>
              <w:pStyle w:val="body-text"/>
              <w:shd w:val="clear" w:color="auto" w:fill="FFFFFF"/>
              <w:spacing w:before="0" w:beforeAutospacing="0" w:after="0" w:afterAutospacing="0" w:line="336" w:lineRule="auto"/>
              <w:jc w:val="center"/>
              <w:cnfStyle w:val="000000100000" w:firstRow="0" w:lastRow="0" w:firstColumn="0" w:lastColumn="0" w:oddVBand="0" w:evenVBand="0" w:oddHBand="1" w:evenHBand="0" w:firstRowFirstColumn="0" w:firstRowLastColumn="0" w:lastRowFirstColumn="0" w:lastRowLastColumn="0"/>
              <w:rPr>
                <w:spacing w:val="2"/>
                <w:sz w:val="26"/>
                <w:szCs w:val="26"/>
              </w:rPr>
            </w:pPr>
            <w:r w:rsidRPr="00733486">
              <w:rPr>
                <w:spacing w:val="2"/>
                <w:sz w:val="26"/>
                <w:szCs w:val="26"/>
              </w:rPr>
              <w:t>1,5</w:t>
            </w:r>
            <w:r w:rsidR="00167574" w:rsidRPr="00733486">
              <w:rPr>
                <w:spacing w:val="2"/>
                <w:sz w:val="26"/>
                <w:szCs w:val="26"/>
              </w:rPr>
              <w:t>7</w:t>
            </w:r>
          </w:p>
        </w:tc>
      </w:tr>
    </w:tbl>
    <w:p w14:paraId="2E1FC2A1" w14:textId="77777777" w:rsidR="00AA0732" w:rsidRPr="00733486" w:rsidRDefault="00AA0732" w:rsidP="00BD3E07">
      <w:pPr>
        <w:shd w:val="clear" w:color="auto" w:fill="FFFFFF"/>
        <w:spacing w:after="0" w:line="336" w:lineRule="auto"/>
        <w:ind w:right="-1" w:firstLine="567"/>
        <w:rPr>
          <w:rFonts w:ascii="Times New Roman" w:hAnsi="Times New Roman" w:cs="Times New Roman"/>
          <w:sz w:val="26"/>
          <w:szCs w:val="26"/>
          <w:lang w:val="pt-BR"/>
        </w:rPr>
      </w:pPr>
    </w:p>
    <w:p w14:paraId="636D9DFD" w14:textId="77777777" w:rsidR="005A18E9" w:rsidRPr="00733486" w:rsidRDefault="005A18E9" w:rsidP="00BD3E07">
      <w:pPr>
        <w:shd w:val="clear" w:color="auto" w:fill="FFFFFF"/>
        <w:spacing w:after="0" w:line="336" w:lineRule="auto"/>
        <w:ind w:firstLine="567"/>
        <w:jc w:val="right"/>
        <w:rPr>
          <w:rFonts w:ascii="Times New Roman" w:hAnsi="Times New Roman" w:cs="Times New Roman"/>
          <w:b/>
          <w:i/>
          <w:iCs/>
          <w:spacing w:val="2"/>
          <w:sz w:val="26"/>
          <w:szCs w:val="26"/>
        </w:rPr>
      </w:pPr>
      <w:r w:rsidRPr="00733486">
        <w:rPr>
          <w:rFonts w:ascii="Times New Roman" w:hAnsi="Times New Roman" w:cs="Times New Roman"/>
          <w:i/>
          <w:iCs/>
          <w:spacing w:val="2"/>
          <w:sz w:val="26"/>
          <w:szCs w:val="26"/>
        </w:rPr>
        <w:t>Đơn vị tính: triệu người</w:t>
      </w:r>
    </w:p>
    <w:p w14:paraId="7F52DFDA" w14:textId="77777777" w:rsidR="005A18E9" w:rsidRPr="00733486" w:rsidRDefault="005A18E9" w:rsidP="00BD3E07">
      <w:pPr>
        <w:tabs>
          <w:tab w:val="left" w:pos="720"/>
        </w:tabs>
        <w:spacing w:after="0" w:line="336" w:lineRule="auto"/>
        <w:ind w:right="0" w:firstLine="567"/>
        <w:rPr>
          <w:rFonts w:ascii="Times New Roman" w:hAnsi="Times New Roman" w:cs="Times New Roman"/>
          <w:bCs/>
          <w:iCs/>
          <w:spacing w:val="-4"/>
          <w:sz w:val="26"/>
          <w:szCs w:val="26"/>
          <w:lang w:val="af-ZA"/>
        </w:rPr>
      </w:pPr>
      <w:r w:rsidRPr="00733486">
        <w:rPr>
          <w:noProof/>
          <w:spacing w:val="2"/>
          <w:sz w:val="26"/>
          <w:szCs w:val="26"/>
        </w:rPr>
        <w:drawing>
          <wp:inline distT="0" distB="0" distL="0" distR="0" wp14:anchorId="4A6489D1" wp14:editId="31F85BB6">
            <wp:extent cx="4937760" cy="217261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62B272" w14:textId="6D5AB63A" w:rsidR="005A18E9" w:rsidRPr="00733486" w:rsidRDefault="005A18E9" w:rsidP="00BD3E07">
      <w:pPr>
        <w:tabs>
          <w:tab w:val="left" w:pos="720"/>
        </w:tabs>
        <w:spacing w:after="0" w:line="336" w:lineRule="auto"/>
        <w:ind w:right="-1" w:firstLine="567"/>
        <w:jc w:val="center"/>
        <w:rPr>
          <w:rFonts w:ascii="Times New Roman" w:hAnsi="Times New Roman" w:cs="Times New Roman"/>
          <w:sz w:val="26"/>
          <w:szCs w:val="26"/>
          <w:lang w:val="de-DE"/>
        </w:rPr>
      </w:pPr>
      <w:r w:rsidRPr="00733486">
        <w:rPr>
          <w:rFonts w:ascii="Times New Roman" w:hAnsi="Times New Roman" w:cs="Times New Roman"/>
          <w:b/>
          <w:bCs/>
          <w:iCs/>
          <w:sz w:val="26"/>
          <w:szCs w:val="26"/>
        </w:rPr>
        <w:t xml:space="preserve">Hình  5. </w:t>
      </w:r>
      <w:r w:rsidRPr="00733486">
        <w:rPr>
          <w:rFonts w:ascii="Times New Roman" w:hAnsi="Times New Roman" w:cs="Times New Roman"/>
          <w:b/>
          <w:bCs/>
          <w:iCs/>
          <w:sz w:val="26"/>
          <w:szCs w:val="26"/>
          <w:lang w:val="vi-VN"/>
        </w:rPr>
        <w:t xml:space="preserve"> Biều</w:t>
      </w:r>
      <w:r w:rsidRPr="00733486">
        <w:rPr>
          <w:rFonts w:ascii="Times New Roman" w:hAnsi="Times New Roman" w:cs="Times New Roman"/>
          <w:b/>
          <w:bCs/>
          <w:iCs/>
          <w:sz w:val="26"/>
          <w:szCs w:val="26"/>
        </w:rPr>
        <w:t xml:space="preserve"> </w:t>
      </w:r>
      <w:r w:rsidRPr="00733486">
        <w:rPr>
          <w:rFonts w:ascii="Times New Roman" w:hAnsi="Times New Roman" w:cs="Times New Roman"/>
          <w:b/>
          <w:bCs/>
          <w:iCs/>
          <w:sz w:val="26"/>
          <w:szCs w:val="26"/>
          <w:lang w:val="vi-VN"/>
        </w:rPr>
        <w:t>đồ lực lượng lao động</w:t>
      </w:r>
      <w:r w:rsidRPr="00733486">
        <w:rPr>
          <w:rFonts w:ascii="Times New Roman" w:hAnsi="Times New Roman" w:cs="Times New Roman"/>
          <w:b/>
          <w:bCs/>
          <w:iCs/>
          <w:sz w:val="26"/>
          <w:szCs w:val="26"/>
        </w:rPr>
        <w:t xml:space="preserve"> </w:t>
      </w:r>
      <w:r w:rsidRPr="00733486">
        <w:rPr>
          <w:rFonts w:ascii="Times New Roman" w:hAnsi="Times New Roman" w:cs="Times New Roman"/>
          <w:b/>
          <w:bCs/>
          <w:iCs/>
          <w:sz w:val="26"/>
          <w:szCs w:val="26"/>
          <w:lang w:val="vi-VN"/>
        </w:rPr>
        <w:t>ngành xây dựng</w:t>
      </w:r>
      <w:r w:rsidR="004D52D7" w:rsidRPr="00733486">
        <w:rPr>
          <w:rFonts w:ascii="Times New Roman" w:hAnsi="Times New Roman" w:cs="Times New Roman"/>
          <w:b/>
          <w:bCs/>
          <w:iCs/>
          <w:sz w:val="26"/>
          <w:szCs w:val="26"/>
        </w:rPr>
        <w:t xml:space="preserve"> 6 tháng đầu</w:t>
      </w:r>
      <w:r w:rsidRPr="00733486">
        <w:rPr>
          <w:rFonts w:ascii="Times New Roman" w:hAnsi="Times New Roman" w:cs="Times New Roman"/>
          <w:b/>
          <w:bCs/>
          <w:iCs/>
          <w:sz w:val="26"/>
          <w:szCs w:val="26"/>
        </w:rPr>
        <w:t xml:space="preserve"> năm 202</w:t>
      </w:r>
      <w:r w:rsidR="004D52D7" w:rsidRPr="00733486">
        <w:rPr>
          <w:rFonts w:ascii="Times New Roman" w:hAnsi="Times New Roman" w:cs="Times New Roman"/>
          <w:b/>
          <w:bCs/>
          <w:iCs/>
          <w:sz w:val="26"/>
          <w:szCs w:val="26"/>
        </w:rPr>
        <w:t>3</w:t>
      </w:r>
    </w:p>
    <w:p w14:paraId="7A3F84E2" w14:textId="77777777" w:rsidR="00733486" w:rsidRDefault="00884E87" w:rsidP="00BD3E07">
      <w:pPr>
        <w:shd w:val="clear" w:color="auto" w:fill="FFFFFF"/>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lang w:val="pt-BR"/>
        </w:rPr>
        <w:t xml:space="preserve">Lực lượng lao động, </w:t>
      </w:r>
      <w:r w:rsidR="005138AF" w:rsidRPr="00733486">
        <w:rPr>
          <w:rFonts w:ascii="Times New Roman" w:hAnsi="Times New Roman" w:cs="Times New Roman"/>
          <w:sz w:val="26"/>
          <w:szCs w:val="26"/>
          <w:lang w:val="pt-BR"/>
        </w:rPr>
        <w:t>lao động có việc làm nói chung có chiều hướng gia tăng</w:t>
      </w:r>
      <w:r w:rsidRPr="00733486">
        <w:rPr>
          <w:rFonts w:ascii="Times New Roman" w:hAnsi="Times New Roman" w:cs="Times New Roman"/>
          <w:sz w:val="26"/>
          <w:szCs w:val="26"/>
          <w:lang w:val="pt-BR"/>
        </w:rPr>
        <w:t xml:space="preserve"> so với cùng kỳ năm trước, </w:t>
      </w:r>
      <w:r w:rsidR="005138AF" w:rsidRPr="00733486">
        <w:rPr>
          <w:rFonts w:ascii="Times New Roman" w:hAnsi="Times New Roman" w:cs="Times New Roman"/>
          <w:sz w:val="26"/>
          <w:szCs w:val="26"/>
          <w:lang w:val="pt-BR"/>
        </w:rPr>
        <w:t xml:space="preserve">tuy nhiên thị trường lao động chưa phát triển bền vững và mới chỉ ở </w:t>
      </w:r>
      <w:r w:rsidR="005138AF" w:rsidRPr="00733486">
        <w:rPr>
          <w:rFonts w:ascii="Times New Roman" w:hAnsi="Times New Roman" w:cs="Times New Roman"/>
          <w:sz w:val="26"/>
          <w:szCs w:val="26"/>
          <w:lang w:val="pt-BR"/>
        </w:rPr>
        <w:lastRenderedPageBreak/>
        <w:t xml:space="preserve">mức cục bộ, </w:t>
      </w:r>
      <w:r w:rsidR="00637FD4" w:rsidRPr="00733486">
        <w:rPr>
          <w:rFonts w:ascii="Times New Roman" w:hAnsi="Times New Roman" w:cs="Times New Roman"/>
          <w:sz w:val="26"/>
          <w:szCs w:val="26"/>
          <w:lang w:val="pt-BR"/>
        </w:rPr>
        <w:t xml:space="preserve">một bộ phận </w:t>
      </w:r>
      <w:r w:rsidR="005138AF" w:rsidRPr="00733486">
        <w:rPr>
          <w:rFonts w:ascii="Times New Roman" w:hAnsi="Times New Roman" w:cs="Times New Roman"/>
          <w:sz w:val="26"/>
          <w:szCs w:val="26"/>
          <w:lang w:val="pt-BR"/>
        </w:rPr>
        <w:t>lao động xây dựng có xu h</w:t>
      </w:r>
      <w:r w:rsidR="00637FD4" w:rsidRPr="00733486">
        <w:rPr>
          <w:rFonts w:ascii="Times New Roman" w:hAnsi="Times New Roman" w:cs="Times New Roman"/>
          <w:sz w:val="26"/>
          <w:szCs w:val="26"/>
          <w:lang w:val="pt-BR"/>
        </w:rPr>
        <w:t>ướng</w:t>
      </w:r>
      <w:r w:rsidR="005138AF" w:rsidRPr="00733486">
        <w:rPr>
          <w:rFonts w:ascii="Times New Roman" w:hAnsi="Times New Roman" w:cs="Times New Roman"/>
          <w:sz w:val="26"/>
          <w:szCs w:val="26"/>
          <w:lang w:val="pt-BR"/>
        </w:rPr>
        <w:t xml:space="preserve"> dịch chuyển sang các ngành nghề khác như khu vực dịch vụ</w:t>
      </w:r>
      <w:r w:rsidR="00637FD4" w:rsidRPr="00733486">
        <w:rPr>
          <w:rFonts w:ascii="Times New Roman" w:hAnsi="Times New Roman" w:cs="Times New Roman"/>
          <w:sz w:val="26"/>
          <w:szCs w:val="26"/>
          <w:lang w:val="pt-BR"/>
        </w:rPr>
        <w:t xml:space="preserve"> và số ít quay trở về làm nông nghiệp (đối với những người xuất phát từ làm nông).</w:t>
      </w:r>
      <w:r w:rsidR="002B0981" w:rsidRPr="00733486">
        <w:rPr>
          <w:rFonts w:ascii="Times New Roman" w:hAnsi="Times New Roman" w:cs="Times New Roman"/>
          <w:sz w:val="26"/>
          <w:szCs w:val="26"/>
          <w:lang w:val="pt-BR"/>
        </w:rPr>
        <w:t xml:space="preserve"> </w:t>
      </w:r>
      <w:r w:rsidR="002B0981" w:rsidRPr="00733486">
        <w:rPr>
          <w:rFonts w:ascii="Times New Roman" w:hAnsi="Times New Roman" w:cs="Times New Roman"/>
          <w:sz w:val="26"/>
          <w:szCs w:val="26"/>
        </w:rPr>
        <w:t>Việc mất cân đối và cục bộ trên thị trường lao động vẫn tiếp tục diễn ra.</w:t>
      </w:r>
    </w:p>
    <w:p w14:paraId="4C65CC15" w14:textId="77777777" w:rsidR="00733486" w:rsidRDefault="000F77C4" w:rsidP="00BD3E07">
      <w:pPr>
        <w:shd w:val="clear" w:color="auto" w:fill="FFFFFF"/>
        <w:spacing w:after="0" w:line="336" w:lineRule="auto"/>
        <w:ind w:right="-1" w:firstLine="0"/>
        <w:rPr>
          <w:rFonts w:ascii="Times New Roman" w:hAnsi="Times New Roman" w:cs="Times New Roman"/>
          <w:b/>
          <w:bCs/>
          <w:i/>
          <w:sz w:val="26"/>
          <w:szCs w:val="26"/>
        </w:rPr>
      </w:pPr>
      <w:r w:rsidRPr="00733486">
        <w:rPr>
          <w:rFonts w:ascii="Times New Roman" w:hAnsi="Times New Roman" w:cs="Times New Roman"/>
          <w:b/>
          <w:bCs/>
          <w:i/>
          <w:sz w:val="26"/>
          <w:szCs w:val="26"/>
        </w:rPr>
        <w:t>II.1.2. Chất lượng lao động ngành xây dựng:</w:t>
      </w:r>
    </w:p>
    <w:p w14:paraId="284E90E3" w14:textId="79412B0D" w:rsidR="00733486" w:rsidRDefault="00B11E76" w:rsidP="00BD3E07">
      <w:pPr>
        <w:shd w:val="clear" w:color="auto" w:fill="FFFFFF"/>
        <w:spacing w:after="0" w:line="336" w:lineRule="auto"/>
        <w:ind w:right="-1" w:firstLine="567"/>
        <w:rPr>
          <w:rFonts w:ascii="Times New Roman" w:hAnsi="Times New Roman" w:cs="Times New Roman"/>
          <w:sz w:val="26"/>
          <w:szCs w:val="26"/>
          <w:lang w:val="pt-BR"/>
        </w:rPr>
      </w:pPr>
      <w:r w:rsidRPr="00733486">
        <w:rPr>
          <w:rFonts w:ascii="Times New Roman" w:hAnsi="Times New Roman" w:cs="Times New Roman"/>
          <w:sz w:val="26"/>
          <w:szCs w:val="26"/>
          <w:lang w:val="pt-BR"/>
        </w:rPr>
        <w:t>Thị trường lao động nhìn chung vẫn đang tiếp tục duy trì đà phục hồi từ cuối năm 2022, nhưng vẫn tồn tại nhiều điểm chưa tích c</w:t>
      </w:r>
      <w:r w:rsidR="00AB6C6E">
        <w:rPr>
          <w:rFonts w:ascii="Times New Roman" w:hAnsi="Times New Roman" w:cs="Times New Roman"/>
          <w:sz w:val="26"/>
          <w:szCs w:val="26"/>
          <w:lang w:val="pt-BR"/>
        </w:rPr>
        <w:t>ự</w:t>
      </w:r>
      <w:r w:rsidRPr="00733486">
        <w:rPr>
          <w:rFonts w:ascii="Times New Roman" w:hAnsi="Times New Roman" w:cs="Times New Roman"/>
          <w:sz w:val="26"/>
          <w:szCs w:val="26"/>
          <w:lang w:val="pt-BR"/>
        </w:rPr>
        <w:t xml:space="preserve">c, một trong những vấn đề là chất lượng lao động. Chất lượng lao động nói chung chưa đủ để đáp ứng cho thị trường lao động hiện đại, bền vững và hội nhập. </w:t>
      </w:r>
      <w:r w:rsidR="00F810E5" w:rsidRPr="00733486">
        <w:rPr>
          <w:rFonts w:ascii="Times New Roman" w:hAnsi="Times New Roman" w:cs="Times New Roman"/>
          <w:sz w:val="26"/>
          <w:szCs w:val="26"/>
          <w:lang w:val="pt-BR"/>
        </w:rPr>
        <w:t>Những biến động của thị trường bất động sản ảnh hưởng không nhỏ đến thị trường lao động xây dựng, công nhân không có tay nghề chuyển dịch sang các ngành nghề khác. Thậm chí công nhân có tay nghề cao do không được đãi ngộ thích đáng h</w:t>
      </w:r>
      <w:r w:rsidR="003C67EF" w:rsidRPr="00733486">
        <w:rPr>
          <w:rFonts w:ascii="Times New Roman" w:hAnsi="Times New Roman" w:cs="Times New Roman"/>
          <w:sz w:val="26"/>
          <w:szCs w:val="26"/>
          <w:lang w:val="pt-BR"/>
        </w:rPr>
        <w:t>oặc do nhà thầu (không được chủ đầu tư thanh toán) chậm lương buộc phải chuyển sang các ngành nghề khác để duy trì cuộc sống hoặc quay về quê từ bỏ nghề xây dựng. Mặt khác một số doanh nghiệp không đủ mạnh về tài chính do thiếu đơn hàng bắt buộc phải cắt giảm nhân sự lành nghề, thuê nhân công giá rẻ.</w:t>
      </w:r>
    </w:p>
    <w:p w14:paraId="5B6CDB31" w14:textId="77777777" w:rsidR="00733486" w:rsidRDefault="003C67EF" w:rsidP="00BD3E07">
      <w:pPr>
        <w:shd w:val="clear" w:color="auto" w:fill="FFFFFF"/>
        <w:spacing w:after="0" w:line="336" w:lineRule="auto"/>
        <w:ind w:right="-1" w:firstLine="567"/>
        <w:rPr>
          <w:rFonts w:ascii="Times New Roman" w:hAnsi="Times New Roman" w:cs="Times New Roman"/>
          <w:sz w:val="26"/>
          <w:szCs w:val="26"/>
          <w:lang w:val="pt-BR"/>
        </w:rPr>
      </w:pPr>
      <w:r w:rsidRPr="00733486">
        <w:rPr>
          <w:rFonts w:ascii="Times New Roman" w:hAnsi="Times New Roman" w:cs="Times New Roman"/>
          <w:sz w:val="26"/>
          <w:szCs w:val="26"/>
          <w:lang w:val="pt-BR"/>
        </w:rPr>
        <w:t>Lao động xây dựng vốn dĩ đã thiếu nhân công chất lượng cao càng bị cuốn vào vòng luẩn quẩn.</w:t>
      </w:r>
    </w:p>
    <w:p w14:paraId="306B6D4C" w14:textId="30D7A1F4" w:rsidR="00733486" w:rsidRPr="00733486" w:rsidRDefault="000F77C4" w:rsidP="00BD3E07">
      <w:pPr>
        <w:shd w:val="clear" w:color="auto" w:fill="FFFFFF"/>
        <w:spacing w:after="0" w:line="336" w:lineRule="auto"/>
        <w:ind w:right="-1" w:firstLine="0"/>
        <w:rPr>
          <w:rFonts w:ascii="Times New Roman" w:hAnsi="Times New Roman" w:cs="Times New Roman"/>
          <w:b/>
          <w:sz w:val="26"/>
          <w:szCs w:val="26"/>
        </w:rPr>
      </w:pPr>
      <w:r w:rsidRPr="00733486">
        <w:rPr>
          <w:rFonts w:ascii="Times New Roman" w:hAnsi="Times New Roman" w:cs="Times New Roman"/>
          <w:b/>
          <w:sz w:val="26"/>
          <w:szCs w:val="26"/>
        </w:rPr>
        <w:t>II.2</w:t>
      </w:r>
      <w:r w:rsidR="006B0F5A" w:rsidRPr="00733486">
        <w:rPr>
          <w:rFonts w:ascii="Times New Roman" w:hAnsi="Times New Roman" w:cs="Times New Roman"/>
          <w:b/>
          <w:sz w:val="26"/>
          <w:szCs w:val="26"/>
        </w:rPr>
        <w:t xml:space="preserve">. </w:t>
      </w:r>
      <w:r w:rsidRPr="00733486">
        <w:rPr>
          <w:rFonts w:ascii="Times New Roman" w:hAnsi="Times New Roman" w:cs="Times New Roman"/>
          <w:b/>
          <w:sz w:val="26"/>
          <w:szCs w:val="26"/>
        </w:rPr>
        <w:t>Thu nhập bình quân của lao động ngành xây dựng</w:t>
      </w:r>
    </w:p>
    <w:p w14:paraId="0B38AE8D" w14:textId="77777777" w:rsidR="00733486" w:rsidRDefault="00081BB9" w:rsidP="00BD3E07">
      <w:pPr>
        <w:spacing w:after="0" w:line="336" w:lineRule="auto"/>
        <w:ind w:right="0" w:firstLine="567"/>
        <w:rPr>
          <w:rFonts w:ascii="Times New Roman" w:hAnsi="Times New Roman" w:cs="Times New Roman"/>
          <w:sz w:val="26"/>
          <w:szCs w:val="26"/>
          <w:lang w:val="vi-VN"/>
        </w:rPr>
      </w:pPr>
      <w:r w:rsidRPr="00733486">
        <w:rPr>
          <w:rFonts w:ascii="Times New Roman" w:hAnsi="Times New Roman" w:cs="Times New Roman"/>
          <w:bCs/>
          <w:iCs/>
          <w:spacing w:val="-4"/>
          <w:sz w:val="26"/>
          <w:szCs w:val="26"/>
          <w:lang w:val="af-ZA"/>
        </w:rPr>
        <w:t xml:space="preserve">Thu nhập </w:t>
      </w:r>
      <w:r w:rsidR="0005169B" w:rsidRPr="00733486">
        <w:rPr>
          <w:rFonts w:ascii="Times New Roman" w:hAnsi="Times New Roman" w:cs="Times New Roman"/>
          <w:bCs/>
          <w:iCs/>
          <w:spacing w:val="-4"/>
          <w:sz w:val="26"/>
          <w:szCs w:val="26"/>
          <w:lang w:val="af-ZA"/>
        </w:rPr>
        <w:t>bình quân của người lao động trên cả nước ước đạt</w:t>
      </w:r>
      <w:r w:rsidRPr="00733486">
        <w:rPr>
          <w:rFonts w:ascii="Times New Roman" w:hAnsi="Times New Roman" w:cs="Times New Roman"/>
          <w:bCs/>
          <w:iCs/>
          <w:spacing w:val="-4"/>
          <w:sz w:val="26"/>
          <w:szCs w:val="26"/>
          <w:lang w:val="af-ZA"/>
        </w:rPr>
        <w:t xml:space="preserve"> khoảng 7,</w:t>
      </w:r>
      <w:r w:rsidR="0005169B" w:rsidRPr="00733486">
        <w:rPr>
          <w:rFonts w:ascii="Times New Roman" w:hAnsi="Times New Roman" w:cs="Times New Roman"/>
          <w:bCs/>
          <w:iCs/>
          <w:spacing w:val="-4"/>
          <w:sz w:val="26"/>
          <w:szCs w:val="26"/>
          <w:lang w:val="af-ZA"/>
        </w:rPr>
        <w:t>0</w:t>
      </w:r>
      <w:r w:rsidRPr="00733486">
        <w:rPr>
          <w:rFonts w:ascii="Times New Roman" w:hAnsi="Times New Roman" w:cs="Times New Roman"/>
          <w:bCs/>
          <w:iCs/>
          <w:spacing w:val="-4"/>
          <w:sz w:val="26"/>
          <w:szCs w:val="26"/>
          <w:lang w:val="af-ZA"/>
        </w:rPr>
        <w:t xml:space="preserve"> triệu đồng/tháng, tăng khoảng </w:t>
      </w:r>
      <w:r w:rsidR="0005169B" w:rsidRPr="00733486">
        <w:rPr>
          <w:rFonts w:ascii="Times New Roman" w:hAnsi="Times New Roman" w:cs="Times New Roman"/>
          <w:bCs/>
          <w:iCs/>
          <w:spacing w:val="-4"/>
          <w:sz w:val="26"/>
          <w:szCs w:val="26"/>
          <w:lang w:val="af-ZA"/>
        </w:rPr>
        <w:t>7,6% (497</w:t>
      </w:r>
      <w:r w:rsidRPr="00733486">
        <w:rPr>
          <w:rFonts w:ascii="Times New Roman" w:hAnsi="Times New Roman" w:cs="Times New Roman"/>
          <w:bCs/>
          <w:iCs/>
          <w:spacing w:val="-4"/>
          <w:sz w:val="26"/>
          <w:szCs w:val="26"/>
          <w:lang w:val="af-ZA"/>
        </w:rPr>
        <w:t xml:space="preserve"> nghìn đồng</w:t>
      </w:r>
      <w:r w:rsidR="0005169B" w:rsidRPr="00733486">
        <w:rPr>
          <w:rFonts w:ascii="Times New Roman" w:hAnsi="Times New Roman" w:cs="Times New Roman"/>
          <w:bCs/>
          <w:iCs/>
          <w:spacing w:val="-4"/>
          <w:sz w:val="26"/>
          <w:szCs w:val="26"/>
          <w:lang w:val="af-ZA"/>
        </w:rPr>
        <w:t>)</w:t>
      </w:r>
      <w:r w:rsidRPr="00733486">
        <w:rPr>
          <w:rFonts w:ascii="Times New Roman" w:hAnsi="Times New Roman" w:cs="Times New Roman"/>
          <w:bCs/>
          <w:iCs/>
          <w:spacing w:val="-4"/>
          <w:sz w:val="26"/>
          <w:szCs w:val="26"/>
          <w:lang w:val="af-ZA"/>
        </w:rPr>
        <w:t xml:space="preserve"> so với cùng kỳ năm 2022.</w:t>
      </w:r>
      <w:r w:rsidR="000F77C4" w:rsidRPr="00733486">
        <w:rPr>
          <w:rFonts w:ascii="Times New Roman" w:hAnsi="Times New Roman" w:cs="Times New Roman"/>
          <w:sz w:val="26"/>
          <w:szCs w:val="26"/>
          <w:lang w:val="vi-VN"/>
        </w:rPr>
        <w:t> </w:t>
      </w:r>
    </w:p>
    <w:p w14:paraId="74B83404" w14:textId="627582A0" w:rsidR="00733486" w:rsidRDefault="00040731" w:rsidP="00BD3E07">
      <w:pPr>
        <w:spacing w:after="0" w:line="336" w:lineRule="auto"/>
        <w:ind w:right="0" w:firstLine="567"/>
        <w:rPr>
          <w:rFonts w:ascii="Times New Roman" w:hAnsi="Times New Roman" w:cs="Times New Roman"/>
          <w:bCs/>
          <w:sz w:val="26"/>
          <w:szCs w:val="26"/>
          <w:lang w:val="de-DE"/>
        </w:rPr>
      </w:pPr>
      <w:r w:rsidRPr="00733486">
        <w:rPr>
          <w:rFonts w:ascii="Times New Roman" w:hAnsi="Times New Roman" w:cs="Times New Roman"/>
          <w:sz w:val="26"/>
          <w:szCs w:val="26"/>
        </w:rPr>
        <w:t xml:space="preserve">Thu nhập của lao động ngành xây dựng vẫn nằm trong khoảng trung bình </w:t>
      </w:r>
      <w:r w:rsidR="008A4489">
        <w:rPr>
          <w:rFonts w:ascii="Times New Roman" w:hAnsi="Times New Roman" w:cs="Times New Roman"/>
          <w:sz w:val="26"/>
          <w:szCs w:val="26"/>
        </w:rPr>
        <w:t xml:space="preserve">thấp </w:t>
      </w:r>
      <w:r w:rsidRPr="00733486">
        <w:rPr>
          <w:rFonts w:ascii="Times New Roman" w:hAnsi="Times New Roman" w:cs="Times New Roman"/>
          <w:sz w:val="26"/>
          <w:szCs w:val="26"/>
        </w:rPr>
        <w:t>so với các ngành nghề khác, ước khoảng 6,5 -7,</w:t>
      </w:r>
      <w:r w:rsidR="008A4489">
        <w:rPr>
          <w:rFonts w:ascii="Times New Roman" w:hAnsi="Times New Roman" w:cs="Times New Roman"/>
          <w:sz w:val="26"/>
          <w:szCs w:val="26"/>
        </w:rPr>
        <w:t>2</w:t>
      </w:r>
      <w:r w:rsidRPr="00733486">
        <w:rPr>
          <w:rFonts w:ascii="Times New Roman" w:hAnsi="Times New Roman" w:cs="Times New Roman"/>
          <w:sz w:val="26"/>
          <w:szCs w:val="26"/>
        </w:rPr>
        <w:t xml:space="preserve"> triệu đồng/tháng</w:t>
      </w:r>
      <w:r w:rsidR="000F77C4" w:rsidRPr="00733486">
        <w:rPr>
          <w:rFonts w:ascii="Times New Roman" w:hAnsi="Times New Roman" w:cs="Times New Roman"/>
          <w:bCs/>
          <w:sz w:val="26"/>
          <w:szCs w:val="26"/>
          <w:lang w:val="de-DE"/>
        </w:rPr>
        <w:t>.</w:t>
      </w:r>
    </w:p>
    <w:p w14:paraId="6423B579" w14:textId="55304512" w:rsidR="000F77C4" w:rsidRPr="00733486" w:rsidRDefault="000F77C4" w:rsidP="00BD3E07">
      <w:pPr>
        <w:spacing w:after="0" w:line="336" w:lineRule="auto"/>
        <w:ind w:right="0" w:firstLine="567"/>
        <w:rPr>
          <w:rFonts w:ascii="Times New Roman" w:hAnsi="Times New Roman" w:cs="Times New Roman"/>
          <w:sz w:val="26"/>
          <w:szCs w:val="26"/>
          <w:lang w:val="vi-VN"/>
        </w:rPr>
      </w:pPr>
      <w:r w:rsidRPr="00733486">
        <w:rPr>
          <w:rFonts w:ascii="Times New Roman" w:hAnsi="Times New Roman" w:cs="Times New Roman"/>
          <w:sz w:val="26"/>
          <w:szCs w:val="26"/>
          <w:lang w:val="vi-VN"/>
        </w:rPr>
        <w:t xml:space="preserve">Theo số liệu điều tra của nhóm khảo sát, thì thu nhập bình quân của công nhân ngành xây dựng có việc làm 6 tháng </w:t>
      </w:r>
      <w:r w:rsidR="00040731" w:rsidRPr="00733486">
        <w:rPr>
          <w:rFonts w:ascii="Times New Roman" w:hAnsi="Times New Roman" w:cs="Times New Roman"/>
          <w:sz w:val="26"/>
          <w:szCs w:val="26"/>
        </w:rPr>
        <w:t>đầu</w:t>
      </w:r>
      <w:r w:rsidRPr="00733486">
        <w:rPr>
          <w:rFonts w:ascii="Times New Roman" w:hAnsi="Times New Roman" w:cs="Times New Roman"/>
          <w:sz w:val="26"/>
          <w:szCs w:val="26"/>
          <w:lang w:val="vi-VN"/>
        </w:rPr>
        <w:t xml:space="preserve"> năm 202</w:t>
      </w:r>
      <w:r w:rsidR="00040731" w:rsidRPr="00733486">
        <w:rPr>
          <w:rFonts w:ascii="Times New Roman" w:hAnsi="Times New Roman" w:cs="Times New Roman"/>
          <w:sz w:val="26"/>
          <w:szCs w:val="26"/>
        </w:rPr>
        <w:t>3</w:t>
      </w:r>
      <w:r w:rsidRPr="00733486">
        <w:rPr>
          <w:rFonts w:ascii="Times New Roman" w:hAnsi="Times New Roman" w:cs="Times New Roman"/>
          <w:sz w:val="26"/>
          <w:szCs w:val="26"/>
          <w:lang w:val="vi-VN"/>
        </w:rPr>
        <w:t xml:space="preserve"> đạt mức bình quân khoảng 6,</w:t>
      </w:r>
      <w:r w:rsidR="00040731" w:rsidRPr="00733486">
        <w:rPr>
          <w:rFonts w:ascii="Times New Roman" w:hAnsi="Times New Roman" w:cs="Times New Roman"/>
          <w:sz w:val="26"/>
          <w:szCs w:val="26"/>
        </w:rPr>
        <w:t>5</w:t>
      </w:r>
      <w:r w:rsidRPr="00733486">
        <w:rPr>
          <w:rFonts w:ascii="Times New Roman" w:hAnsi="Times New Roman" w:cs="Times New Roman"/>
          <w:sz w:val="26"/>
          <w:szCs w:val="26"/>
          <w:lang w:val="vi-VN"/>
        </w:rPr>
        <w:t xml:space="preserve"> - 7,</w:t>
      </w:r>
      <w:r w:rsidR="00040731" w:rsidRPr="00733486">
        <w:rPr>
          <w:rFonts w:ascii="Times New Roman" w:hAnsi="Times New Roman" w:cs="Times New Roman"/>
          <w:sz w:val="26"/>
          <w:szCs w:val="26"/>
        </w:rPr>
        <w:t>2</w:t>
      </w:r>
      <w:r w:rsidRPr="00733486">
        <w:rPr>
          <w:rFonts w:ascii="Times New Roman" w:hAnsi="Times New Roman" w:cs="Times New Roman"/>
          <w:sz w:val="26"/>
          <w:szCs w:val="26"/>
          <w:lang w:val="vi-VN"/>
        </w:rPr>
        <w:t xml:space="preserve"> triệu đồng/tháng, vẫn ở mức trung bình so với các ngành sản xuất khác. </w:t>
      </w:r>
      <w:bookmarkStart w:id="0" w:name="_Hlk120888762"/>
      <w:r w:rsidRPr="00733486">
        <w:rPr>
          <w:rFonts w:ascii="Times New Roman" w:hAnsi="Times New Roman" w:cs="Times New Roman"/>
          <w:sz w:val="26"/>
          <w:szCs w:val="26"/>
          <w:lang w:val="vi-VN"/>
        </w:rPr>
        <w:t>Lao động phổ thông có thu nhập bình quân khoảng 5,</w:t>
      </w:r>
      <w:r w:rsidR="00040731" w:rsidRPr="00733486">
        <w:rPr>
          <w:rFonts w:ascii="Times New Roman" w:hAnsi="Times New Roman" w:cs="Times New Roman"/>
          <w:sz w:val="26"/>
          <w:szCs w:val="26"/>
        </w:rPr>
        <w:t>7</w:t>
      </w:r>
      <w:r w:rsidRPr="00733486">
        <w:rPr>
          <w:rFonts w:ascii="Times New Roman" w:hAnsi="Times New Roman" w:cs="Times New Roman"/>
          <w:sz w:val="26"/>
          <w:szCs w:val="26"/>
          <w:lang w:val="vi-VN"/>
        </w:rPr>
        <w:t xml:space="preserve"> - 6,</w:t>
      </w:r>
      <w:r w:rsidR="00040731" w:rsidRPr="00733486">
        <w:rPr>
          <w:rFonts w:ascii="Times New Roman" w:hAnsi="Times New Roman" w:cs="Times New Roman"/>
          <w:sz w:val="26"/>
          <w:szCs w:val="26"/>
        </w:rPr>
        <w:t>3</w:t>
      </w:r>
      <w:r w:rsidRPr="00733486">
        <w:rPr>
          <w:rFonts w:ascii="Times New Roman" w:hAnsi="Times New Roman" w:cs="Times New Roman"/>
          <w:sz w:val="26"/>
          <w:szCs w:val="26"/>
          <w:lang w:val="vi-VN"/>
        </w:rPr>
        <w:t xml:space="preserve"> triệu đồng/tháng. Lao động có tay nghề thu nhập bình quân khoảng </w:t>
      </w:r>
      <w:r w:rsidR="00040731" w:rsidRPr="00733486">
        <w:rPr>
          <w:rFonts w:ascii="Times New Roman" w:hAnsi="Times New Roman" w:cs="Times New Roman"/>
          <w:sz w:val="26"/>
          <w:szCs w:val="26"/>
        </w:rPr>
        <w:t>6,9</w:t>
      </w:r>
      <w:r w:rsidRPr="00733486">
        <w:rPr>
          <w:rFonts w:ascii="Times New Roman" w:hAnsi="Times New Roman" w:cs="Times New Roman"/>
          <w:sz w:val="26"/>
          <w:szCs w:val="26"/>
          <w:lang w:val="vi-VN"/>
        </w:rPr>
        <w:t xml:space="preserve"> - 7,5 triệu đồng/tháng. </w:t>
      </w:r>
      <w:r w:rsidR="00040731" w:rsidRPr="00733486">
        <w:rPr>
          <w:rFonts w:ascii="Times New Roman" w:hAnsi="Times New Roman" w:cs="Times New Roman"/>
          <w:sz w:val="26"/>
          <w:szCs w:val="26"/>
        </w:rPr>
        <w:t>T</w:t>
      </w:r>
      <w:r w:rsidRPr="00733486">
        <w:rPr>
          <w:rFonts w:ascii="Times New Roman" w:hAnsi="Times New Roman" w:cs="Times New Roman"/>
          <w:sz w:val="26"/>
          <w:szCs w:val="26"/>
          <w:lang w:val="vi-VN"/>
        </w:rPr>
        <w:t xml:space="preserve">hợ </w:t>
      </w:r>
      <w:r w:rsidR="00040731" w:rsidRPr="00733486">
        <w:rPr>
          <w:rFonts w:ascii="Times New Roman" w:hAnsi="Times New Roman" w:cs="Times New Roman"/>
          <w:sz w:val="26"/>
          <w:szCs w:val="26"/>
        </w:rPr>
        <w:t>lành nghề, thợ lái máy …</w:t>
      </w:r>
      <w:r w:rsidRPr="00733486">
        <w:rPr>
          <w:rFonts w:ascii="Times New Roman" w:hAnsi="Times New Roman" w:cs="Times New Roman"/>
          <w:sz w:val="26"/>
          <w:szCs w:val="26"/>
          <w:lang w:val="vi-VN"/>
        </w:rPr>
        <w:t xml:space="preserve"> thu nhập khoảng 1</w:t>
      </w:r>
      <w:r w:rsidR="00040731" w:rsidRPr="00733486">
        <w:rPr>
          <w:rFonts w:ascii="Times New Roman" w:hAnsi="Times New Roman" w:cs="Times New Roman"/>
          <w:sz w:val="26"/>
          <w:szCs w:val="26"/>
        </w:rPr>
        <w:t>1</w:t>
      </w:r>
      <w:r w:rsidRPr="00733486">
        <w:rPr>
          <w:rFonts w:ascii="Times New Roman" w:hAnsi="Times New Roman" w:cs="Times New Roman"/>
          <w:sz w:val="26"/>
          <w:szCs w:val="26"/>
          <w:lang w:val="vi-VN"/>
        </w:rPr>
        <w:t xml:space="preserve"> </w:t>
      </w:r>
      <w:r w:rsidR="00AB6C6E">
        <w:rPr>
          <w:rFonts w:ascii="Times New Roman" w:hAnsi="Times New Roman" w:cs="Times New Roman"/>
          <w:sz w:val="26"/>
          <w:szCs w:val="26"/>
          <w:lang w:val="vi-VN"/>
        </w:rPr>
        <w:t>–</w:t>
      </w:r>
      <w:r w:rsidRPr="00733486">
        <w:rPr>
          <w:rFonts w:ascii="Times New Roman" w:hAnsi="Times New Roman" w:cs="Times New Roman"/>
          <w:sz w:val="26"/>
          <w:szCs w:val="26"/>
          <w:lang w:val="vi-VN"/>
        </w:rPr>
        <w:t xml:space="preserve"> 1</w:t>
      </w:r>
      <w:r w:rsidR="00AB6C6E">
        <w:rPr>
          <w:rFonts w:ascii="Times New Roman" w:hAnsi="Times New Roman" w:cs="Times New Roman"/>
          <w:sz w:val="26"/>
          <w:szCs w:val="26"/>
        </w:rPr>
        <w:t>3,5</w:t>
      </w:r>
      <w:r w:rsidRPr="00733486">
        <w:rPr>
          <w:rFonts w:ascii="Times New Roman" w:hAnsi="Times New Roman" w:cs="Times New Roman"/>
          <w:sz w:val="26"/>
          <w:szCs w:val="26"/>
          <w:lang w:val="vi-VN"/>
        </w:rPr>
        <w:t xml:space="preserve"> triệu đồng/tháng, tăng </w:t>
      </w:r>
      <w:r w:rsidR="007E697D" w:rsidRPr="00733486">
        <w:rPr>
          <w:rFonts w:ascii="Times New Roman" w:hAnsi="Times New Roman" w:cs="Times New Roman"/>
          <w:sz w:val="26"/>
          <w:szCs w:val="26"/>
        </w:rPr>
        <w:t>khoảng 5% - 8%</w:t>
      </w:r>
      <w:r w:rsidR="00AA4418">
        <w:rPr>
          <w:rFonts w:ascii="Times New Roman" w:hAnsi="Times New Roman" w:cs="Times New Roman"/>
          <w:sz w:val="26"/>
          <w:szCs w:val="26"/>
        </w:rPr>
        <w:t xml:space="preserve"> </w:t>
      </w:r>
      <w:r w:rsidRPr="00733486">
        <w:rPr>
          <w:rFonts w:ascii="Times New Roman" w:hAnsi="Times New Roman" w:cs="Times New Roman"/>
          <w:sz w:val="26"/>
          <w:szCs w:val="26"/>
          <w:lang w:val="vi-VN"/>
        </w:rPr>
        <w:t>so với cùng kỳ năm 202</w:t>
      </w:r>
      <w:r w:rsidR="00040731" w:rsidRPr="00733486">
        <w:rPr>
          <w:rFonts w:ascii="Times New Roman" w:hAnsi="Times New Roman" w:cs="Times New Roman"/>
          <w:sz w:val="26"/>
          <w:szCs w:val="26"/>
        </w:rPr>
        <w:t>2</w:t>
      </w:r>
      <w:r w:rsidRPr="00733486">
        <w:rPr>
          <w:rFonts w:ascii="Times New Roman" w:hAnsi="Times New Roman" w:cs="Times New Roman"/>
          <w:sz w:val="26"/>
          <w:szCs w:val="26"/>
          <w:lang w:val="vi-VN"/>
        </w:rPr>
        <w:t>.</w:t>
      </w:r>
    </w:p>
    <w:bookmarkEnd w:id="0"/>
    <w:p w14:paraId="37F72892" w14:textId="77777777" w:rsidR="00733486" w:rsidRDefault="000F77C4" w:rsidP="00BD3E07">
      <w:pPr>
        <w:spacing w:after="0" w:line="336" w:lineRule="auto"/>
        <w:ind w:right="-8" w:firstLine="0"/>
        <w:rPr>
          <w:rFonts w:ascii="Times New Roman" w:hAnsi="Times New Roman" w:cs="Times New Roman"/>
          <w:b/>
          <w:sz w:val="26"/>
          <w:szCs w:val="26"/>
          <w:lang w:val="de-DE"/>
        </w:rPr>
      </w:pPr>
      <w:r w:rsidRPr="00733486">
        <w:rPr>
          <w:rFonts w:ascii="Times New Roman" w:hAnsi="Times New Roman" w:cs="Times New Roman"/>
          <w:b/>
          <w:sz w:val="26"/>
          <w:szCs w:val="26"/>
          <w:lang w:val="de-DE"/>
        </w:rPr>
        <w:t>II.</w:t>
      </w:r>
      <w:r w:rsidR="00D60B22" w:rsidRPr="00733486">
        <w:rPr>
          <w:rFonts w:ascii="Times New Roman" w:hAnsi="Times New Roman" w:cs="Times New Roman"/>
          <w:b/>
          <w:sz w:val="26"/>
          <w:szCs w:val="26"/>
          <w:lang w:val="de-DE"/>
        </w:rPr>
        <w:t>3</w:t>
      </w:r>
      <w:r w:rsidRPr="00733486">
        <w:rPr>
          <w:rFonts w:ascii="Times New Roman" w:hAnsi="Times New Roman" w:cs="Times New Roman"/>
          <w:b/>
          <w:sz w:val="26"/>
          <w:szCs w:val="26"/>
          <w:lang w:val="de-DE"/>
        </w:rPr>
        <w:t xml:space="preserve">. Đánh giá về thị trường nhân công xây dựng 6 tháng </w:t>
      </w:r>
      <w:r w:rsidR="00D60B22" w:rsidRPr="00733486">
        <w:rPr>
          <w:rFonts w:ascii="Times New Roman" w:hAnsi="Times New Roman" w:cs="Times New Roman"/>
          <w:b/>
          <w:sz w:val="26"/>
          <w:szCs w:val="26"/>
          <w:lang w:val="de-DE"/>
        </w:rPr>
        <w:t>đầu</w:t>
      </w:r>
      <w:r w:rsidRPr="00733486">
        <w:rPr>
          <w:rFonts w:ascii="Times New Roman" w:hAnsi="Times New Roman" w:cs="Times New Roman"/>
          <w:b/>
          <w:sz w:val="26"/>
          <w:szCs w:val="26"/>
          <w:lang w:val="de-DE"/>
        </w:rPr>
        <w:t xml:space="preserve"> năm 202</w:t>
      </w:r>
      <w:r w:rsidR="00D60B22" w:rsidRPr="00733486">
        <w:rPr>
          <w:rFonts w:ascii="Times New Roman" w:hAnsi="Times New Roman" w:cs="Times New Roman"/>
          <w:b/>
          <w:sz w:val="26"/>
          <w:szCs w:val="26"/>
          <w:lang w:val="de-DE"/>
        </w:rPr>
        <w:t>3</w:t>
      </w:r>
    </w:p>
    <w:p w14:paraId="424266BF" w14:textId="77777777" w:rsidR="00733486" w:rsidRDefault="000F77C4" w:rsidP="00BD3E07">
      <w:pPr>
        <w:spacing w:after="0" w:line="336" w:lineRule="auto"/>
        <w:ind w:right="-8" w:firstLine="720"/>
        <w:rPr>
          <w:rFonts w:ascii="Times New Roman" w:hAnsi="Times New Roman" w:cs="Times New Roman"/>
          <w:sz w:val="26"/>
          <w:szCs w:val="26"/>
          <w:lang w:val="pt-BR"/>
        </w:rPr>
      </w:pPr>
      <w:r w:rsidRPr="00733486">
        <w:rPr>
          <w:rFonts w:ascii="Times New Roman" w:hAnsi="Times New Roman" w:cs="Times New Roman"/>
          <w:sz w:val="26"/>
          <w:szCs w:val="26"/>
          <w:lang w:val="pt-BR"/>
        </w:rPr>
        <w:t xml:space="preserve">Thu nhập bình quân của người lao động </w:t>
      </w:r>
      <w:r w:rsidR="00D60B22" w:rsidRPr="00733486">
        <w:rPr>
          <w:rFonts w:ascii="Times New Roman" w:hAnsi="Times New Roman" w:cs="Times New Roman"/>
          <w:sz w:val="26"/>
          <w:szCs w:val="26"/>
          <w:lang w:val="pt-BR"/>
        </w:rPr>
        <w:t>tăng</w:t>
      </w:r>
      <w:r w:rsidRPr="00733486">
        <w:rPr>
          <w:rFonts w:ascii="Times New Roman" w:hAnsi="Times New Roman" w:cs="Times New Roman"/>
          <w:sz w:val="26"/>
          <w:szCs w:val="26"/>
          <w:lang w:val="pt-BR"/>
        </w:rPr>
        <w:t xml:space="preserve"> hơn </w:t>
      </w:r>
      <w:r w:rsidR="00D60B22" w:rsidRPr="00733486">
        <w:rPr>
          <w:rFonts w:ascii="Times New Roman" w:hAnsi="Times New Roman" w:cs="Times New Roman"/>
          <w:sz w:val="26"/>
          <w:szCs w:val="26"/>
          <w:lang w:val="pt-BR"/>
        </w:rPr>
        <w:t xml:space="preserve">khoảng 5% </w:t>
      </w:r>
      <w:r w:rsidRPr="00733486">
        <w:rPr>
          <w:rFonts w:ascii="Times New Roman" w:hAnsi="Times New Roman" w:cs="Times New Roman"/>
          <w:sz w:val="26"/>
          <w:szCs w:val="26"/>
          <w:lang w:val="pt-BR"/>
        </w:rPr>
        <w:t xml:space="preserve">so với cùng kỳ năm trước. </w:t>
      </w:r>
      <w:bookmarkStart w:id="1" w:name="_Hlk120888929"/>
      <w:r w:rsidRPr="00733486">
        <w:rPr>
          <w:rFonts w:ascii="Times New Roman" w:hAnsi="Times New Roman" w:cs="Times New Roman"/>
          <w:sz w:val="26"/>
          <w:szCs w:val="26"/>
          <w:lang w:val="pt-BR"/>
        </w:rPr>
        <w:t>Chất lượng lao động ngành xây dựng vẫn còn nhiều hạn chế, chưa đáp ứng được nhu cầu của người sử dụng lao động.</w:t>
      </w:r>
      <w:bookmarkEnd w:id="1"/>
      <w:r w:rsidR="00D60B22" w:rsidRPr="00733486">
        <w:rPr>
          <w:rFonts w:ascii="Times New Roman" w:hAnsi="Times New Roman" w:cs="Times New Roman"/>
          <w:sz w:val="26"/>
          <w:szCs w:val="26"/>
          <w:lang w:val="pt-BR"/>
        </w:rPr>
        <w:t xml:space="preserve"> Có sự thiếu hụt cục bộ về số lượng lao động trong các mảng của thị trường lao động xây dựng.</w:t>
      </w:r>
    </w:p>
    <w:p w14:paraId="1EB142CF" w14:textId="77777777" w:rsidR="00AA4418" w:rsidRDefault="00D60B22" w:rsidP="00BD3E07">
      <w:pPr>
        <w:spacing w:after="0" w:line="336" w:lineRule="auto"/>
        <w:ind w:right="-8" w:firstLine="720"/>
        <w:rPr>
          <w:rFonts w:ascii="Times New Roman" w:hAnsi="Times New Roman" w:cs="Times New Roman"/>
          <w:sz w:val="26"/>
          <w:szCs w:val="26"/>
          <w:lang w:val="pt-BR"/>
        </w:rPr>
      </w:pPr>
      <w:r w:rsidRPr="00733486">
        <w:rPr>
          <w:rFonts w:ascii="Times New Roman" w:hAnsi="Times New Roman" w:cs="Times New Roman"/>
          <w:sz w:val="26"/>
          <w:szCs w:val="26"/>
          <w:lang w:val="pt-BR"/>
        </w:rPr>
        <w:t>Việc Chính phủ và</w:t>
      </w:r>
      <w:r w:rsidR="000F77C4" w:rsidRPr="00733486">
        <w:rPr>
          <w:rFonts w:ascii="Times New Roman" w:hAnsi="Times New Roman" w:cs="Times New Roman"/>
          <w:sz w:val="26"/>
          <w:szCs w:val="26"/>
          <w:lang w:val="pt-BR"/>
        </w:rPr>
        <w:t xml:space="preserve"> Thủ tướng chỉ đạo quyết liệt</w:t>
      </w:r>
      <w:r w:rsidRPr="00733486">
        <w:rPr>
          <w:rFonts w:ascii="Times New Roman" w:hAnsi="Times New Roman" w:cs="Times New Roman"/>
          <w:sz w:val="26"/>
          <w:szCs w:val="26"/>
          <w:lang w:val="pt-BR"/>
        </w:rPr>
        <w:t xml:space="preserve"> tiến độ</w:t>
      </w:r>
      <w:r w:rsidR="000F77C4" w:rsidRPr="00733486">
        <w:rPr>
          <w:rFonts w:ascii="Times New Roman" w:hAnsi="Times New Roman" w:cs="Times New Roman"/>
          <w:sz w:val="26"/>
          <w:szCs w:val="26"/>
          <w:lang w:val="pt-BR"/>
        </w:rPr>
        <w:t xml:space="preserve"> thực hiện giải ngân vốn đầu tư công, </w:t>
      </w:r>
      <w:r w:rsidRPr="00733486">
        <w:rPr>
          <w:rFonts w:ascii="Times New Roman" w:hAnsi="Times New Roman" w:cs="Times New Roman"/>
          <w:sz w:val="26"/>
          <w:szCs w:val="26"/>
          <w:lang w:val="pt-BR"/>
        </w:rPr>
        <w:t>khởi công một loạt các dự án cao tốc B</w:t>
      </w:r>
      <w:r w:rsidR="000B40A8" w:rsidRPr="00733486">
        <w:rPr>
          <w:rFonts w:ascii="Times New Roman" w:hAnsi="Times New Roman" w:cs="Times New Roman"/>
          <w:sz w:val="26"/>
          <w:szCs w:val="26"/>
          <w:lang w:val="pt-BR"/>
        </w:rPr>
        <w:t>ắ</w:t>
      </w:r>
      <w:r w:rsidRPr="00733486">
        <w:rPr>
          <w:rFonts w:ascii="Times New Roman" w:hAnsi="Times New Roman" w:cs="Times New Roman"/>
          <w:sz w:val="26"/>
          <w:szCs w:val="26"/>
          <w:lang w:val="pt-BR"/>
        </w:rPr>
        <w:t xml:space="preserve">c </w:t>
      </w:r>
      <w:r w:rsidR="000B40A8" w:rsidRPr="00733486">
        <w:rPr>
          <w:rFonts w:ascii="Times New Roman" w:hAnsi="Times New Roman" w:cs="Times New Roman"/>
          <w:sz w:val="26"/>
          <w:szCs w:val="26"/>
          <w:lang w:val="pt-BR"/>
        </w:rPr>
        <w:t>-</w:t>
      </w:r>
      <w:r w:rsidRPr="00733486">
        <w:rPr>
          <w:rFonts w:ascii="Times New Roman" w:hAnsi="Times New Roman" w:cs="Times New Roman"/>
          <w:sz w:val="26"/>
          <w:szCs w:val="26"/>
          <w:lang w:val="pt-BR"/>
        </w:rPr>
        <w:t xml:space="preserve"> Nam</w:t>
      </w:r>
      <w:r w:rsidR="000B40A8" w:rsidRPr="00733486">
        <w:rPr>
          <w:rFonts w:ascii="Times New Roman" w:hAnsi="Times New Roman" w:cs="Times New Roman"/>
          <w:sz w:val="26"/>
          <w:szCs w:val="26"/>
          <w:lang w:val="pt-BR"/>
        </w:rPr>
        <w:t xml:space="preserve"> và các dự án hạ tầng trọng điểm </w:t>
      </w:r>
      <w:r w:rsidR="000F77C4" w:rsidRPr="00733486">
        <w:rPr>
          <w:rFonts w:ascii="Times New Roman" w:hAnsi="Times New Roman" w:cs="Times New Roman"/>
          <w:sz w:val="26"/>
          <w:szCs w:val="26"/>
          <w:lang w:val="pt-BR"/>
        </w:rPr>
        <w:t xml:space="preserve"> </w:t>
      </w:r>
      <w:r w:rsidR="000F77C4" w:rsidRPr="00733486">
        <w:rPr>
          <w:rFonts w:ascii="Times New Roman" w:hAnsi="Times New Roman" w:cs="Times New Roman"/>
          <w:sz w:val="26"/>
          <w:szCs w:val="26"/>
          <w:lang w:val="pt-BR"/>
        </w:rPr>
        <w:lastRenderedPageBreak/>
        <w:t xml:space="preserve">là động lực thúc đẩy sự tăng trưởng của thị trường lao động ngành xây dựng trong các tháng </w:t>
      </w:r>
      <w:r w:rsidR="000B40A8" w:rsidRPr="00733486">
        <w:rPr>
          <w:rFonts w:ascii="Times New Roman" w:hAnsi="Times New Roman" w:cs="Times New Roman"/>
          <w:sz w:val="26"/>
          <w:szCs w:val="26"/>
          <w:lang w:val="pt-BR"/>
        </w:rPr>
        <w:t>đầu năm cũng như cả năm 2023</w:t>
      </w:r>
      <w:r w:rsidR="000F77C4" w:rsidRPr="00733486">
        <w:rPr>
          <w:rFonts w:ascii="Times New Roman" w:hAnsi="Times New Roman" w:cs="Times New Roman"/>
          <w:sz w:val="26"/>
          <w:szCs w:val="26"/>
          <w:lang w:val="pt-BR"/>
        </w:rPr>
        <w:t>.</w:t>
      </w:r>
    </w:p>
    <w:p w14:paraId="2E2252CB" w14:textId="77777777" w:rsidR="00AA4418" w:rsidRDefault="000F77C4" w:rsidP="00BD3E07">
      <w:pPr>
        <w:spacing w:after="0" w:line="336" w:lineRule="auto"/>
        <w:ind w:right="-8" w:firstLine="0"/>
        <w:rPr>
          <w:rFonts w:ascii="Times New Roman" w:hAnsi="Times New Roman" w:cs="Times New Roman"/>
          <w:b/>
          <w:sz w:val="26"/>
          <w:szCs w:val="26"/>
          <w:lang w:val="de-DE"/>
        </w:rPr>
      </w:pPr>
      <w:r w:rsidRPr="00733486">
        <w:rPr>
          <w:rFonts w:ascii="Times New Roman" w:hAnsi="Times New Roman" w:cs="Times New Roman"/>
          <w:b/>
          <w:sz w:val="26"/>
          <w:szCs w:val="26"/>
          <w:lang w:val="de-DE"/>
        </w:rPr>
        <w:t xml:space="preserve">III. Một số thông tin về thị trường lao động và một số chính sách có liên quan đến tình hình thị trường lao động ngành xây dựng </w:t>
      </w:r>
      <w:r w:rsidR="0035397F" w:rsidRPr="00733486">
        <w:rPr>
          <w:rFonts w:ascii="Times New Roman" w:hAnsi="Times New Roman" w:cs="Times New Roman"/>
          <w:b/>
          <w:sz w:val="26"/>
          <w:szCs w:val="26"/>
          <w:lang w:val="de-DE"/>
        </w:rPr>
        <w:t xml:space="preserve">6 tháng đầu </w:t>
      </w:r>
      <w:r w:rsidRPr="00733486">
        <w:rPr>
          <w:rFonts w:ascii="Times New Roman" w:hAnsi="Times New Roman" w:cs="Times New Roman"/>
          <w:b/>
          <w:sz w:val="26"/>
          <w:szCs w:val="26"/>
          <w:lang w:val="de-DE"/>
        </w:rPr>
        <w:t>năm 202</w:t>
      </w:r>
      <w:r w:rsidR="0035397F" w:rsidRPr="00733486">
        <w:rPr>
          <w:rFonts w:ascii="Times New Roman" w:hAnsi="Times New Roman" w:cs="Times New Roman"/>
          <w:b/>
          <w:sz w:val="26"/>
          <w:szCs w:val="26"/>
          <w:lang w:val="de-DE"/>
        </w:rPr>
        <w:t>3</w:t>
      </w:r>
    </w:p>
    <w:p w14:paraId="2F77B3AE" w14:textId="77777777" w:rsidR="00AA4418" w:rsidRDefault="0035397F" w:rsidP="00BD3E07">
      <w:pPr>
        <w:spacing w:after="0" w:line="336" w:lineRule="auto"/>
        <w:ind w:right="-8" w:firstLine="720"/>
        <w:rPr>
          <w:rFonts w:ascii="Times New Roman" w:hAnsi="Times New Roman" w:cs="Times New Roman"/>
          <w:bCs/>
          <w:sz w:val="26"/>
          <w:szCs w:val="26"/>
          <w:lang w:val="de-DE"/>
        </w:rPr>
      </w:pPr>
      <w:r w:rsidRPr="00733486">
        <w:rPr>
          <w:rFonts w:ascii="Times New Roman" w:hAnsi="Times New Roman" w:cs="Times New Roman"/>
          <w:bCs/>
          <w:sz w:val="26"/>
          <w:szCs w:val="26"/>
          <w:lang w:val="de-DE"/>
        </w:rPr>
        <w:t>Bộ Luật lao động 2019 có hiệu lực thi hành từ 01/01/2021 có nhiều điểm mới nổi bật, nhiều thay đổi lớn liên quan đến người lao động</w:t>
      </w:r>
      <w:r w:rsidR="003B558D" w:rsidRPr="00733486">
        <w:rPr>
          <w:rFonts w:ascii="Times New Roman" w:hAnsi="Times New Roman" w:cs="Times New Roman"/>
          <w:bCs/>
          <w:sz w:val="26"/>
          <w:szCs w:val="26"/>
          <w:lang w:val="de-DE"/>
        </w:rPr>
        <w:t xml:space="preserve"> như: người lao động có quyền đơn phương chấm dứt hợp đồng lao động không cần lý do chỉ cần đáp ứng thời hạn báo trước; bổ sung quy định về những trường hợp đặc biệt người lao động có quyền đơn phương chấm dứt hợp đồng lao động không cần báo trước; chỉ được giao kết hợp đồng lao động (HĐLĐ) bằng lời nói với hợp đồng có thời hạn dưới 01 tháng; Luật mới đã bỏ loại hợp đồng theo mùa vụ, chỉ còn 2 loại hợp đồng là không xác định thời hạn và hợp đồng xác định thời hạn (không quá 36 tháng); không áp dụng thử việc đối với hợp đồng lao động dưới 01 tháng,</w:t>
      </w:r>
      <w:r w:rsidR="003B558D" w:rsidRPr="00733486">
        <w:rPr>
          <w:rFonts w:ascii="Open Sans" w:hAnsi="Open Sans" w:cs="Open Sans"/>
          <w:color w:val="333333"/>
          <w:sz w:val="26"/>
          <w:szCs w:val="26"/>
          <w:shd w:val="clear" w:color="auto" w:fill="FFFFFF"/>
        </w:rPr>
        <w:t xml:space="preserve"> </w:t>
      </w:r>
      <w:r w:rsidR="003B558D" w:rsidRPr="00733486">
        <w:rPr>
          <w:rFonts w:ascii="Times New Roman" w:hAnsi="Times New Roman" w:cs="Times New Roman"/>
          <w:bCs/>
          <w:sz w:val="26"/>
          <w:szCs w:val="26"/>
          <w:lang w:val="de-DE"/>
        </w:rPr>
        <w:t>thêm trường hợp ng</w:t>
      </w:r>
      <w:r w:rsidR="005E0DD0" w:rsidRPr="00733486">
        <w:rPr>
          <w:rFonts w:ascii="Times New Roman" w:hAnsi="Times New Roman" w:cs="Times New Roman"/>
          <w:bCs/>
          <w:sz w:val="26"/>
          <w:szCs w:val="26"/>
          <w:lang w:val="de-DE"/>
        </w:rPr>
        <w:t>ười</w:t>
      </w:r>
      <w:r w:rsidR="003B558D" w:rsidRPr="00733486">
        <w:rPr>
          <w:rFonts w:ascii="Times New Roman" w:hAnsi="Times New Roman" w:cs="Times New Roman"/>
          <w:bCs/>
          <w:sz w:val="26"/>
          <w:szCs w:val="26"/>
          <w:lang w:val="de-DE"/>
        </w:rPr>
        <w:t xml:space="preserve"> lao động nghỉ việc riêng vẫn hưởng nguyên lương</w:t>
      </w:r>
      <w:r w:rsidR="005E0DD0" w:rsidRPr="00733486">
        <w:rPr>
          <w:rFonts w:ascii="Times New Roman" w:hAnsi="Times New Roman" w:cs="Times New Roman"/>
          <w:bCs/>
          <w:sz w:val="26"/>
          <w:szCs w:val="26"/>
          <w:lang w:val="de-DE"/>
        </w:rPr>
        <w:t xml:space="preserve">, người lao động không phải trả phí mở tài khoản để nhận lương tại ngân hàng, tăng tuổi nghỉ hưu </w:t>
      </w:r>
      <w:r w:rsidR="003B558D" w:rsidRPr="00733486">
        <w:rPr>
          <w:rFonts w:ascii="Times New Roman" w:hAnsi="Times New Roman" w:cs="Times New Roman"/>
          <w:bCs/>
          <w:sz w:val="26"/>
          <w:szCs w:val="26"/>
          <w:lang w:val="de-DE"/>
        </w:rPr>
        <w:t xml:space="preserve">... </w:t>
      </w:r>
      <w:r w:rsidR="005E0DD0" w:rsidRPr="00733486">
        <w:rPr>
          <w:rFonts w:ascii="Times New Roman" w:hAnsi="Times New Roman" w:cs="Times New Roman"/>
          <w:bCs/>
          <w:sz w:val="26"/>
          <w:szCs w:val="26"/>
          <w:lang w:val="de-DE"/>
        </w:rPr>
        <w:t>Phần lớn nh</w:t>
      </w:r>
      <w:r w:rsidR="003B558D" w:rsidRPr="00733486">
        <w:rPr>
          <w:rFonts w:ascii="Times New Roman" w:hAnsi="Times New Roman" w:cs="Times New Roman"/>
          <w:bCs/>
          <w:sz w:val="26"/>
          <w:szCs w:val="26"/>
          <w:lang w:val="de-DE"/>
        </w:rPr>
        <w:t xml:space="preserve">ững thay đổi kể trên đều có mục tiêu bảo vệ quyền lợi cho người lao động. Đây là một trong những thay đổi lớn của Bộ Luật lao động ảnh hưởng tích cực đến tinh thần </w:t>
      </w:r>
      <w:r w:rsidR="005E0DD0" w:rsidRPr="00733486">
        <w:rPr>
          <w:rFonts w:ascii="Times New Roman" w:hAnsi="Times New Roman" w:cs="Times New Roman"/>
          <w:bCs/>
          <w:sz w:val="26"/>
          <w:szCs w:val="26"/>
          <w:lang w:val="de-DE"/>
        </w:rPr>
        <w:t>và tăng thêm thu nhập thực tế cho người lao động</w:t>
      </w:r>
      <w:r w:rsidR="00AA4418">
        <w:rPr>
          <w:rFonts w:ascii="Times New Roman" w:hAnsi="Times New Roman" w:cs="Times New Roman"/>
          <w:bCs/>
          <w:sz w:val="26"/>
          <w:szCs w:val="26"/>
          <w:lang w:val="de-DE"/>
        </w:rPr>
        <w:t>.</w:t>
      </w:r>
    </w:p>
    <w:p w14:paraId="2E69866C" w14:textId="162E7F7D" w:rsidR="000F77C4" w:rsidRPr="00733486" w:rsidRDefault="005E0DD0" w:rsidP="00BD3E07">
      <w:pPr>
        <w:spacing w:after="0" w:line="336" w:lineRule="auto"/>
        <w:ind w:right="-8" w:firstLine="720"/>
        <w:rPr>
          <w:rFonts w:ascii="Times New Roman" w:hAnsi="Times New Roman" w:cs="Times New Roman"/>
          <w:bCs/>
          <w:sz w:val="26"/>
          <w:szCs w:val="26"/>
          <w:lang w:val="de-DE"/>
        </w:rPr>
      </w:pPr>
      <w:r w:rsidRPr="00733486">
        <w:rPr>
          <w:rFonts w:ascii="Times New Roman" w:hAnsi="Times New Roman" w:cs="Times New Roman"/>
          <w:bCs/>
          <w:sz w:val="26"/>
          <w:szCs w:val="26"/>
          <w:lang w:val="de-DE"/>
        </w:rPr>
        <w:t>Đến n</w:t>
      </w:r>
      <w:r w:rsidR="000F77C4" w:rsidRPr="00733486">
        <w:rPr>
          <w:rFonts w:ascii="Times New Roman" w:hAnsi="Times New Roman" w:cs="Times New Roman"/>
          <w:bCs/>
          <w:sz w:val="26"/>
          <w:szCs w:val="26"/>
          <w:lang w:val="de-DE"/>
        </w:rPr>
        <w:t xml:space="preserve">gày 12/6/2022 Chính phủ đã ban hành Nghị định số 38/2022/NĐ-CP về quy định mức lương tối thiểu </w:t>
      </w:r>
      <w:r w:rsidR="00F3353F" w:rsidRPr="00733486">
        <w:rPr>
          <w:rFonts w:ascii="Times New Roman" w:hAnsi="Times New Roman" w:cs="Times New Roman"/>
          <w:bCs/>
          <w:sz w:val="26"/>
          <w:szCs w:val="26"/>
          <w:lang w:val="de-DE"/>
        </w:rPr>
        <w:t xml:space="preserve">vùng </w:t>
      </w:r>
      <w:r w:rsidR="000F77C4" w:rsidRPr="00733486">
        <w:rPr>
          <w:rFonts w:ascii="Times New Roman" w:hAnsi="Times New Roman" w:cs="Times New Roman"/>
          <w:bCs/>
          <w:sz w:val="26"/>
          <w:szCs w:val="26"/>
          <w:lang w:val="de-DE"/>
        </w:rPr>
        <w:t>đối với người lao động làm việc theo hợp đồng lao động</w:t>
      </w:r>
      <w:r w:rsidRPr="00733486">
        <w:rPr>
          <w:rFonts w:ascii="Times New Roman" w:hAnsi="Times New Roman" w:cs="Times New Roman"/>
          <w:bCs/>
          <w:sz w:val="26"/>
          <w:szCs w:val="26"/>
          <w:lang w:val="de-DE"/>
        </w:rPr>
        <w:t xml:space="preserve"> thay thế cho Nghị định số 90/2019/NĐ-CP</w:t>
      </w:r>
      <w:r w:rsidR="000F77C4" w:rsidRPr="00733486">
        <w:rPr>
          <w:rFonts w:ascii="Times New Roman" w:hAnsi="Times New Roman" w:cs="Times New Roman"/>
          <w:bCs/>
          <w:sz w:val="26"/>
          <w:szCs w:val="26"/>
          <w:lang w:val="de-DE"/>
        </w:rPr>
        <w:t>.</w:t>
      </w:r>
      <w:r w:rsidR="0035397F" w:rsidRPr="00733486">
        <w:rPr>
          <w:rFonts w:ascii="Times New Roman" w:hAnsi="Times New Roman" w:cs="Times New Roman"/>
          <w:bCs/>
          <w:sz w:val="26"/>
          <w:szCs w:val="26"/>
          <w:lang w:val="de-DE"/>
        </w:rPr>
        <w:t xml:space="preserve"> Trong đó, lương tối thiểu vùng I là 4.680.000 đồng/tháng; vùng II là 4.160.000 đồng/tháng; vùng III là 3.640.000 đồng/tháng và vùng IV là 3.250.000 đồng/tháng</w:t>
      </w:r>
      <w:r w:rsidRPr="00733486">
        <w:rPr>
          <w:rFonts w:ascii="Times New Roman" w:hAnsi="Times New Roman" w:cs="Times New Roman"/>
          <w:bCs/>
          <w:sz w:val="26"/>
          <w:szCs w:val="26"/>
          <w:lang w:val="de-DE"/>
        </w:rPr>
        <w:t xml:space="preserve">, tăng từ 5,9%-6,1% so với mức lương tối thiểu vùng tại Nghị định 90/2019/NĐ-CP. Việc tăng mức lương tối thiểu vùng </w:t>
      </w:r>
      <w:r w:rsidR="00CD6F8D" w:rsidRPr="00733486">
        <w:rPr>
          <w:rFonts w:ascii="Times New Roman" w:hAnsi="Times New Roman" w:cs="Times New Roman"/>
          <w:bCs/>
          <w:sz w:val="26"/>
          <w:szCs w:val="26"/>
          <w:lang w:val="de-DE"/>
        </w:rPr>
        <w:t>thể hiện sự quan tâm đến lợi ích của người</w:t>
      </w:r>
      <w:r w:rsidR="00D06ADB" w:rsidRPr="00733486">
        <w:rPr>
          <w:rFonts w:ascii="Times New Roman" w:hAnsi="Times New Roman" w:cs="Times New Roman"/>
          <w:bCs/>
          <w:sz w:val="26"/>
          <w:szCs w:val="26"/>
          <w:lang w:val="de-DE"/>
        </w:rPr>
        <w:t xml:space="preserve"> </w:t>
      </w:r>
      <w:r w:rsidRPr="00733486">
        <w:rPr>
          <w:rFonts w:ascii="Times New Roman" w:hAnsi="Times New Roman" w:cs="Times New Roman"/>
          <w:bCs/>
          <w:sz w:val="26"/>
          <w:szCs w:val="26"/>
          <w:lang w:val="de-DE"/>
        </w:rPr>
        <w:t>người lao động</w:t>
      </w:r>
      <w:r w:rsidR="00CD6F8D" w:rsidRPr="00733486">
        <w:rPr>
          <w:rFonts w:ascii="Times New Roman" w:hAnsi="Times New Roman" w:cs="Times New Roman"/>
          <w:bCs/>
          <w:sz w:val="26"/>
          <w:szCs w:val="26"/>
          <w:lang w:val="de-DE"/>
        </w:rPr>
        <w:t xml:space="preserve">, đảm bảo mức sống cơ bản cho người lao động, thu hút lao động quay trở lại làm việc trong các doanh nghiệp. Doanh nghiệp mặc dù phải gánh thêm chi phí, giảm lợi nhuận nhưng bù lại giải quyết hài hòa mối quan hệ giữa người lao động và doanh nghiệp, về lâu dài hạn chế được tình trạng thiếu hụt lao động, đem lại hiệu quả </w:t>
      </w:r>
      <w:r w:rsidR="002012EF" w:rsidRPr="00733486">
        <w:rPr>
          <w:rFonts w:ascii="Times New Roman" w:hAnsi="Times New Roman" w:cs="Times New Roman"/>
          <w:bCs/>
          <w:sz w:val="26"/>
          <w:szCs w:val="26"/>
          <w:lang w:val="de-DE"/>
        </w:rPr>
        <w:t xml:space="preserve">bền vững </w:t>
      </w:r>
      <w:r w:rsidR="00CD6F8D" w:rsidRPr="00733486">
        <w:rPr>
          <w:rFonts w:ascii="Times New Roman" w:hAnsi="Times New Roman" w:cs="Times New Roman"/>
          <w:bCs/>
          <w:sz w:val="26"/>
          <w:szCs w:val="26"/>
          <w:lang w:val="de-DE"/>
        </w:rPr>
        <w:t xml:space="preserve">cho </w:t>
      </w:r>
      <w:r w:rsidR="00AB6C6E">
        <w:rPr>
          <w:rFonts w:ascii="Times New Roman" w:hAnsi="Times New Roman" w:cs="Times New Roman"/>
          <w:bCs/>
          <w:sz w:val="26"/>
          <w:szCs w:val="26"/>
          <w:lang w:val="de-DE"/>
        </w:rPr>
        <w:t xml:space="preserve">quá </w:t>
      </w:r>
      <w:r w:rsidR="00CD6F8D" w:rsidRPr="00733486">
        <w:rPr>
          <w:rFonts w:ascii="Times New Roman" w:hAnsi="Times New Roman" w:cs="Times New Roman"/>
          <w:bCs/>
          <w:sz w:val="26"/>
          <w:szCs w:val="26"/>
          <w:lang w:val="de-DE"/>
        </w:rPr>
        <w:t>trình sản xuất.</w:t>
      </w:r>
    </w:p>
    <w:p w14:paraId="166C8912" w14:textId="0E8DEC38" w:rsidR="000F77C4" w:rsidRPr="00733486" w:rsidRDefault="000F77C4" w:rsidP="00BD3E07">
      <w:pPr>
        <w:spacing w:after="0" w:line="336" w:lineRule="auto"/>
        <w:ind w:right="-34" w:firstLine="0"/>
        <w:rPr>
          <w:rFonts w:ascii="Times New Roman" w:hAnsi="Times New Roman" w:cs="Times New Roman"/>
          <w:b/>
          <w:sz w:val="26"/>
          <w:szCs w:val="26"/>
        </w:rPr>
      </w:pPr>
      <w:r w:rsidRPr="00733486">
        <w:rPr>
          <w:rFonts w:ascii="Times New Roman" w:hAnsi="Times New Roman" w:cs="Times New Roman"/>
          <w:b/>
          <w:sz w:val="26"/>
          <w:szCs w:val="26"/>
        </w:rPr>
        <w:t xml:space="preserve">III.1. Một số chính sách, văn bản về lao động, tiền lương nhân công xây dựng </w:t>
      </w:r>
    </w:p>
    <w:p w14:paraId="5CD326BE" w14:textId="02C3CF00" w:rsidR="000F77C4" w:rsidRPr="00733486" w:rsidRDefault="000F77C4"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Cho đến thời điểm hiện tại, từ khi Thông tư số 13/2021/TT-BXD có hiệu lực, đã có 6</w:t>
      </w:r>
      <w:r w:rsidR="00111F8D" w:rsidRPr="00733486">
        <w:rPr>
          <w:rFonts w:ascii="Times New Roman" w:hAnsi="Times New Roman" w:cs="Times New Roman"/>
          <w:sz w:val="26"/>
          <w:szCs w:val="26"/>
        </w:rPr>
        <w:t>3</w:t>
      </w:r>
      <w:r w:rsidRPr="00733486">
        <w:rPr>
          <w:rFonts w:ascii="Times New Roman" w:hAnsi="Times New Roman" w:cs="Times New Roman"/>
          <w:sz w:val="26"/>
          <w:szCs w:val="26"/>
        </w:rPr>
        <w:t xml:space="preserve">/63 tỉnh, thành phố trực thuộc Trung ương có các văn bản hướng dẫn công bố đơn giá nhân công theo hướng dẫn tại </w:t>
      </w:r>
      <w:r w:rsidRPr="00733486">
        <w:rPr>
          <w:rFonts w:ascii="Times New Roman" w:hAnsi="Times New Roman" w:cs="Times New Roman"/>
          <w:sz w:val="26"/>
          <w:szCs w:val="26"/>
          <w:lang w:val="de-DE"/>
        </w:rPr>
        <w:t>Phụ lục IV Thông tư 13/2021/TT-BXD</w:t>
      </w:r>
      <w:r w:rsidRPr="00733486">
        <w:rPr>
          <w:rFonts w:ascii="Times New Roman" w:hAnsi="Times New Roman" w:cs="Times New Roman"/>
          <w:sz w:val="26"/>
          <w:szCs w:val="26"/>
        </w:rPr>
        <w:t xml:space="preserve">. </w:t>
      </w:r>
    </w:p>
    <w:p w14:paraId="2B859758" w14:textId="704CD61D" w:rsidR="00384694" w:rsidRPr="00733486" w:rsidRDefault="00384694" w:rsidP="00BD3E07">
      <w:pPr>
        <w:spacing w:after="0" w:line="336" w:lineRule="auto"/>
        <w:ind w:right="-1" w:firstLine="567"/>
        <w:rPr>
          <w:rFonts w:ascii="Times New Roman" w:hAnsi="Times New Roman" w:cs="Times New Roman"/>
          <w:b/>
          <w:sz w:val="26"/>
          <w:szCs w:val="26"/>
          <w:lang w:val="de-DE"/>
        </w:rPr>
      </w:pPr>
      <w:r w:rsidRPr="00733486">
        <w:rPr>
          <w:rFonts w:ascii="Times New Roman" w:hAnsi="Times New Roman" w:cs="Times New Roman"/>
          <w:bCs/>
          <w:sz w:val="26"/>
          <w:szCs w:val="26"/>
          <w:lang w:val="de-DE"/>
        </w:rPr>
        <w:t xml:space="preserve">Nghị định số 38/2022/NĐ-CP về quy định mức lương tối thiểu vùng đối với người lao động có hiệu lực thi hành từ 01/7/2022, tuy nhiên cho đến thời điểm hiện tại Bộ Xây </w:t>
      </w:r>
      <w:r w:rsidRPr="00733486">
        <w:rPr>
          <w:rFonts w:ascii="Times New Roman" w:hAnsi="Times New Roman" w:cs="Times New Roman"/>
          <w:bCs/>
          <w:sz w:val="26"/>
          <w:szCs w:val="26"/>
          <w:lang w:val="de-DE"/>
        </w:rPr>
        <w:lastRenderedPageBreak/>
        <w:t xml:space="preserve">dựng vẫn chưa có các hướng dẫn điều chỉnh khung đơn giá nhân công kịp thời để phù hợp với mức lương tối thiểu mới đảm bảo </w:t>
      </w:r>
      <w:bookmarkStart w:id="2" w:name="_Hlk107929242"/>
      <w:r w:rsidRPr="00733486">
        <w:rPr>
          <w:rFonts w:ascii="Times New Roman" w:hAnsi="Times New Roman" w:cs="Times New Roman"/>
          <w:bCs/>
          <w:sz w:val="26"/>
          <w:szCs w:val="26"/>
          <w:lang w:val="de-DE"/>
        </w:rPr>
        <w:t>mức sống cơ bản cho người lao động.</w:t>
      </w:r>
      <w:r w:rsidRPr="00733486">
        <w:rPr>
          <w:rFonts w:ascii="Times New Roman" w:hAnsi="Times New Roman" w:cs="Times New Roman"/>
          <w:b/>
          <w:sz w:val="26"/>
          <w:szCs w:val="26"/>
          <w:lang w:val="de-DE"/>
        </w:rPr>
        <w:t xml:space="preserve"> </w:t>
      </w:r>
    </w:p>
    <w:p w14:paraId="08365720" w14:textId="5979AA42" w:rsidR="000F77C4" w:rsidRPr="00733486" w:rsidRDefault="000F77C4" w:rsidP="00BD3E07">
      <w:pPr>
        <w:spacing w:after="0" w:line="336" w:lineRule="auto"/>
        <w:ind w:right="-1" w:firstLine="0"/>
        <w:rPr>
          <w:rFonts w:ascii="Times New Roman" w:hAnsi="Times New Roman" w:cs="Times New Roman"/>
          <w:b/>
          <w:sz w:val="26"/>
          <w:szCs w:val="26"/>
          <w:lang w:val="de-DE"/>
        </w:rPr>
      </w:pPr>
      <w:r w:rsidRPr="00733486">
        <w:rPr>
          <w:rFonts w:ascii="Times New Roman" w:hAnsi="Times New Roman" w:cs="Times New Roman"/>
          <w:b/>
          <w:sz w:val="26"/>
          <w:szCs w:val="26"/>
          <w:lang w:val="de-DE"/>
        </w:rPr>
        <w:t xml:space="preserve">III.2.  Giá nhân công xây dựng tính theo đơn vị sản phẩm và trình độ tay nghề trên thị trường lao động 6 tháng </w:t>
      </w:r>
      <w:r w:rsidR="009F583D" w:rsidRPr="00733486">
        <w:rPr>
          <w:rFonts w:ascii="Times New Roman" w:hAnsi="Times New Roman" w:cs="Times New Roman"/>
          <w:b/>
          <w:sz w:val="26"/>
          <w:szCs w:val="26"/>
          <w:lang w:val="de-DE"/>
        </w:rPr>
        <w:t>đầu</w:t>
      </w:r>
      <w:r w:rsidRPr="00733486">
        <w:rPr>
          <w:rFonts w:ascii="Times New Roman" w:hAnsi="Times New Roman" w:cs="Times New Roman"/>
          <w:b/>
          <w:sz w:val="26"/>
          <w:szCs w:val="26"/>
          <w:lang w:val="de-DE"/>
        </w:rPr>
        <w:t xml:space="preserve"> năm 202</w:t>
      </w:r>
      <w:r w:rsidR="009F583D" w:rsidRPr="00733486">
        <w:rPr>
          <w:rFonts w:ascii="Times New Roman" w:hAnsi="Times New Roman" w:cs="Times New Roman"/>
          <w:b/>
          <w:sz w:val="26"/>
          <w:szCs w:val="26"/>
          <w:lang w:val="de-DE"/>
        </w:rPr>
        <w:t>3</w:t>
      </w:r>
    </w:p>
    <w:p w14:paraId="6661B7B7" w14:textId="543C315B" w:rsidR="00592825" w:rsidRPr="00023197" w:rsidRDefault="00B6572A" w:rsidP="00BD3E07">
      <w:pPr>
        <w:spacing w:after="0" w:line="336" w:lineRule="auto"/>
        <w:ind w:right="-34" w:firstLine="0"/>
        <w:rPr>
          <w:rFonts w:ascii="Times New Roman" w:hAnsi="Times New Roman" w:cs="Times New Roman"/>
          <w:b/>
          <w:i/>
          <w:iCs/>
          <w:sz w:val="26"/>
          <w:szCs w:val="26"/>
          <w:lang w:val="de-DE"/>
        </w:rPr>
      </w:pPr>
      <w:r w:rsidRPr="00733486">
        <w:rPr>
          <w:rFonts w:ascii="Times New Roman" w:hAnsi="Times New Roman" w:cs="Times New Roman"/>
          <w:b/>
          <w:i/>
          <w:iCs/>
          <w:sz w:val="26"/>
          <w:szCs w:val="26"/>
          <w:lang w:val="de-DE"/>
        </w:rPr>
        <w:t>I</w:t>
      </w:r>
      <w:r w:rsidR="000F77C4" w:rsidRPr="00733486">
        <w:rPr>
          <w:rFonts w:ascii="Times New Roman" w:hAnsi="Times New Roman" w:cs="Times New Roman"/>
          <w:b/>
          <w:i/>
          <w:iCs/>
          <w:sz w:val="26"/>
          <w:szCs w:val="26"/>
          <w:lang w:val="de-DE"/>
        </w:rPr>
        <w:t>II.2.1. Giá nhân công xây dựng tính theo đơn vị sản phẩm trên thị trường lao động ở các khu vực kinh tế trọng điểm</w:t>
      </w:r>
      <w:r w:rsidR="000F77C4" w:rsidRPr="00733486">
        <w:rPr>
          <w:rFonts w:ascii="Times New Roman" w:hAnsi="Times New Roman" w:cs="Times New Roman"/>
          <w:i/>
          <w:iCs/>
          <w:spacing w:val="-2"/>
          <w:sz w:val="26"/>
          <w:szCs w:val="26"/>
          <w:vertAlign w:val="superscript"/>
          <w:lang w:val="de-DE"/>
        </w:rPr>
        <w:t>[</w:t>
      </w:r>
      <w:r w:rsidR="000F77C4" w:rsidRPr="00733486">
        <w:rPr>
          <w:rStyle w:val="FootnoteReference"/>
          <w:rFonts w:ascii="Times New Roman" w:hAnsi="Times New Roman" w:cs="Times New Roman"/>
          <w:i/>
          <w:iCs/>
          <w:sz w:val="26"/>
          <w:szCs w:val="26"/>
          <w:vertAlign w:val="superscript"/>
          <w:lang w:val="pt-BR"/>
        </w:rPr>
        <w:footnoteReference w:id="8"/>
      </w:r>
      <w:r w:rsidR="000F77C4" w:rsidRPr="00733486">
        <w:rPr>
          <w:rFonts w:ascii="Times New Roman" w:hAnsi="Times New Roman" w:cs="Times New Roman"/>
          <w:i/>
          <w:iCs/>
          <w:sz w:val="26"/>
          <w:szCs w:val="26"/>
          <w:vertAlign w:val="superscript"/>
          <w:lang w:val="pt-BR"/>
        </w:rPr>
        <w:t>]</w:t>
      </w:r>
      <w:r w:rsidR="000F77C4" w:rsidRPr="00733486">
        <w:rPr>
          <w:rFonts w:ascii="Times New Roman" w:hAnsi="Times New Roman" w:cs="Times New Roman"/>
          <w:i/>
          <w:iCs/>
          <w:spacing w:val="-2"/>
          <w:sz w:val="26"/>
          <w:szCs w:val="26"/>
          <w:vertAlign w:val="superscript"/>
          <w:lang w:val="de-DE"/>
        </w:rPr>
        <w:t>.</w:t>
      </w:r>
    </w:p>
    <w:p w14:paraId="0264D20B" w14:textId="6F2B2CC7" w:rsidR="000F77C4" w:rsidRPr="00733486" w:rsidRDefault="000F77C4" w:rsidP="00BD3E07">
      <w:pPr>
        <w:spacing w:after="0" w:line="336" w:lineRule="auto"/>
        <w:ind w:left="5760" w:right="-34" w:firstLine="720"/>
        <w:jc w:val="right"/>
        <w:rPr>
          <w:rFonts w:ascii="Times New Roman" w:hAnsi="Times New Roman" w:cs="Times New Roman"/>
          <w:bCs/>
          <w:i/>
          <w:iCs/>
          <w:sz w:val="26"/>
          <w:szCs w:val="26"/>
          <w:lang w:val="de-DE"/>
        </w:rPr>
      </w:pPr>
      <w:r w:rsidRPr="00733486">
        <w:rPr>
          <w:rFonts w:ascii="Times New Roman" w:hAnsi="Times New Roman" w:cs="Times New Roman"/>
          <w:bCs/>
          <w:i/>
          <w:iCs/>
          <w:sz w:val="26"/>
          <w:szCs w:val="26"/>
          <w:lang w:val="de-DE"/>
        </w:rPr>
        <w:t>Đơn vị tính: 1.000 đồng</w:t>
      </w:r>
    </w:p>
    <w:tbl>
      <w:tblPr>
        <w:tblStyle w:val="GridTable4-Accent5"/>
        <w:tblW w:w="5000" w:type="pct"/>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08"/>
        <w:gridCol w:w="3285"/>
        <w:gridCol w:w="989"/>
        <w:gridCol w:w="1414"/>
        <w:gridCol w:w="1415"/>
        <w:gridCol w:w="1477"/>
      </w:tblGrid>
      <w:tr w:rsidR="000F77C4" w:rsidRPr="00733486" w14:paraId="2B77EA18" w14:textId="77777777" w:rsidTr="003C3301">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79" w:type="pct"/>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DAB2D4" w14:textId="77777777" w:rsidR="000F77C4" w:rsidRPr="00733486" w:rsidRDefault="000F77C4" w:rsidP="00BD3E07">
            <w:pPr>
              <w:spacing w:after="0" w:line="336" w:lineRule="auto"/>
              <w:ind w:right="0" w:firstLine="0"/>
              <w:jc w:val="center"/>
              <w:rPr>
                <w:rFonts w:ascii="Times New Roman" w:hAnsi="Times New Roman" w:cs="Times New Roman"/>
                <w:b w:val="0"/>
                <w:sz w:val="26"/>
                <w:szCs w:val="26"/>
                <w:lang w:val="de-DE"/>
              </w:rPr>
            </w:pPr>
            <w:r w:rsidRPr="00733486">
              <w:rPr>
                <w:rFonts w:ascii="Times New Roman" w:hAnsi="Times New Roman" w:cs="Times New Roman"/>
                <w:sz w:val="26"/>
                <w:szCs w:val="26"/>
              </w:rPr>
              <w:t>STT</w:t>
            </w:r>
          </w:p>
        </w:tc>
        <w:tc>
          <w:tcPr>
            <w:tcW w:w="1769" w:type="pct"/>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110B701F" w14:textId="77777777" w:rsidR="000F77C4" w:rsidRPr="00733486" w:rsidRDefault="000F77C4" w:rsidP="00BD3E07">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Nhân công thực hiện</w:t>
            </w:r>
          </w:p>
          <w:p w14:paraId="7ED91E77" w14:textId="26D59661" w:rsidR="000F77C4" w:rsidRPr="00733486" w:rsidRDefault="000F77C4" w:rsidP="00BD3E07">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733486">
              <w:rPr>
                <w:rFonts w:ascii="Times New Roman" w:hAnsi="Times New Roman" w:cs="Times New Roman"/>
                <w:sz w:val="26"/>
                <w:szCs w:val="26"/>
              </w:rPr>
              <w:t>công tác</w:t>
            </w:r>
          </w:p>
        </w:tc>
        <w:tc>
          <w:tcPr>
            <w:tcW w:w="533" w:type="pct"/>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6A72A6D3" w14:textId="77777777" w:rsidR="000F77C4" w:rsidRPr="00733486" w:rsidRDefault="000F77C4" w:rsidP="00BD3E07">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733486">
              <w:rPr>
                <w:rFonts w:ascii="Times New Roman" w:hAnsi="Times New Roman" w:cs="Times New Roman"/>
                <w:sz w:val="26"/>
                <w:szCs w:val="26"/>
              </w:rPr>
              <w:t>Đơn vị</w:t>
            </w:r>
          </w:p>
        </w:tc>
        <w:tc>
          <w:tcPr>
            <w:tcW w:w="2320" w:type="pct"/>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76E68F" w14:textId="77777777" w:rsidR="000F77C4" w:rsidRPr="00733486" w:rsidRDefault="000F77C4" w:rsidP="00BD3E07">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733486">
              <w:rPr>
                <w:rFonts w:ascii="Times New Roman" w:hAnsi="Times New Roman" w:cs="Times New Roman"/>
                <w:sz w:val="26"/>
                <w:szCs w:val="26"/>
              </w:rPr>
              <w:t>Đơn giá</w:t>
            </w:r>
          </w:p>
        </w:tc>
      </w:tr>
      <w:tr w:rsidR="00A52CD6" w:rsidRPr="00733486" w14:paraId="76E2EEEA" w14:textId="77777777" w:rsidTr="00C94552">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79"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325C7502" w14:textId="77777777" w:rsidR="000F77C4" w:rsidRPr="00733486" w:rsidRDefault="000F77C4" w:rsidP="00BD3E07">
            <w:pPr>
              <w:spacing w:after="0" w:line="336" w:lineRule="auto"/>
              <w:ind w:right="0" w:firstLine="0"/>
              <w:jc w:val="center"/>
              <w:rPr>
                <w:rFonts w:ascii="Times New Roman" w:hAnsi="Times New Roman" w:cs="Times New Roman"/>
                <w:b w:val="0"/>
                <w:sz w:val="26"/>
                <w:szCs w:val="26"/>
                <w:lang w:val="de-DE"/>
              </w:rPr>
            </w:pPr>
          </w:p>
        </w:tc>
        <w:tc>
          <w:tcPr>
            <w:tcW w:w="1769"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2001A2D9" w14:textId="77777777" w:rsidR="000F77C4" w:rsidRPr="00733486" w:rsidRDefault="000F77C4" w:rsidP="00BD3E07">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p>
        </w:tc>
        <w:tc>
          <w:tcPr>
            <w:tcW w:w="533"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79D11F7E" w14:textId="77777777" w:rsidR="000F77C4" w:rsidRPr="00733486" w:rsidRDefault="000F77C4" w:rsidP="00BD3E07">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p>
        </w:tc>
        <w:tc>
          <w:tcPr>
            <w:tcW w:w="762" w:type="pct"/>
            <w:tcBorders>
              <w:top w:val="single" w:sz="4" w:space="0" w:color="00B0F0"/>
              <w:left w:val="single" w:sz="4" w:space="0" w:color="00B0F0"/>
              <w:bottom w:val="single" w:sz="4" w:space="0" w:color="00B0F0"/>
              <w:right w:val="single" w:sz="4" w:space="0" w:color="00B0F0"/>
            </w:tcBorders>
            <w:shd w:val="clear" w:color="auto" w:fill="DEEAF6" w:themeFill="accent5" w:themeFillTint="33"/>
            <w:vAlign w:val="center"/>
          </w:tcPr>
          <w:p w14:paraId="66B21B9C" w14:textId="77777777" w:rsidR="000F77C4" w:rsidRPr="00733486" w:rsidRDefault="000F77C4" w:rsidP="00BD3E07">
            <w:pPr>
              <w:spacing w:after="0" w:line="336" w:lineRule="auto"/>
              <w:ind w:right="-114"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733486">
              <w:rPr>
                <w:rFonts w:ascii="Times New Roman" w:hAnsi="Times New Roman" w:cs="Times New Roman"/>
                <w:sz w:val="26"/>
                <w:szCs w:val="26"/>
              </w:rPr>
              <w:t>Khu vực miền Bắc</w:t>
            </w:r>
          </w:p>
        </w:tc>
        <w:tc>
          <w:tcPr>
            <w:tcW w:w="762" w:type="pct"/>
            <w:tcBorders>
              <w:top w:val="single" w:sz="4" w:space="0" w:color="00B0F0"/>
              <w:left w:val="single" w:sz="4" w:space="0" w:color="00B0F0"/>
              <w:bottom w:val="single" w:sz="4" w:space="0" w:color="00B0F0"/>
              <w:right w:val="single" w:sz="4" w:space="0" w:color="00B0F0"/>
            </w:tcBorders>
            <w:shd w:val="clear" w:color="auto" w:fill="DEEAF6" w:themeFill="accent5" w:themeFillTint="33"/>
            <w:vAlign w:val="center"/>
          </w:tcPr>
          <w:p w14:paraId="59DA0CCE" w14:textId="77777777" w:rsidR="000F77C4" w:rsidRPr="00733486" w:rsidRDefault="000F77C4" w:rsidP="00BD3E07">
            <w:pPr>
              <w:spacing w:after="0" w:line="336" w:lineRule="auto"/>
              <w:ind w:right="-107"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733486">
              <w:rPr>
                <w:rFonts w:ascii="Times New Roman" w:hAnsi="Times New Roman" w:cs="Times New Roman"/>
                <w:sz w:val="26"/>
                <w:szCs w:val="26"/>
              </w:rPr>
              <w:t>Khu vực miền Nam</w:t>
            </w:r>
          </w:p>
        </w:tc>
        <w:tc>
          <w:tcPr>
            <w:tcW w:w="796" w:type="pct"/>
            <w:tcBorders>
              <w:top w:val="single" w:sz="4" w:space="0" w:color="00B0F0"/>
              <w:left w:val="single" w:sz="4" w:space="0" w:color="00B0F0"/>
              <w:bottom w:val="single" w:sz="4" w:space="0" w:color="00B0F0"/>
              <w:right w:val="single" w:sz="4" w:space="0" w:color="00B0F0"/>
            </w:tcBorders>
            <w:shd w:val="clear" w:color="auto" w:fill="DEEAF6" w:themeFill="accent5" w:themeFillTint="33"/>
            <w:vAlign w:val="center"/>
          </w:tcPr>
          <w:p w14:paraId="1D2A3293" w14:textId="77777777" w:rsidR="000F77C4" w:rsidRPr="00733486" w:rsidRDefault="000F77C4" w:rsidP="00BD3E07">
            <w:pPr>
              <w:spacing w:after="0" w:line="336" w:lineRule="auto"/>
              <w:ind w:left="-123" w:right="-108"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733486">
              <w:rPr>
                <w:rFonts w:ascii="Times New Roman" w:hAnsi="Times New Roman" w:cs="Times New Roman"/>
                <w:sz w:val="26"/>
                <w:szCs w:val="26"/>
              </w:rPr>
              <w:t>Khu vực miền Trung</w:t>
            </w:r>
          </w:p>
        </w:tc>
      </w:tr>
      <w:tr w:rsidR="000F77C4" w:rsidRPr="00733486" w14:paraId="6983BDED" w14:textId="77777777" w:rsidTr="00C94552">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79"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7AF48C14" w14:textId="77777777" w:rsidR="000F77C4" w:rsidRPr="00733486" w:rsidRDefault="000F77C4" w:rsidP="00BD3E07">
            <w:pPr>
              <w:spacing w:after="0" w:line="336" w:lineRule="auto"/>
              <w:ind w:right="0" w:firstLine="0"/>
              <w:jc w:val="center"/>
              <w:rPr>
                <w:rFonts w:ascii="Times New Roman" w:hAnsi="Times New Roman" w:cs="Times New Roman"/>
                <w:b w:val="0"/>
                <w:sz w:val="26"/>
                <w:szCs w:val="26"/>
                <w:lang w:val="de-DE"/>
              </w:rPr>
            </w:pPr>
          </w:p>
        </w:tc>
        <w:tc>
          <w:tcPr>
            <w:tcW w:w="1769"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12AECBE3" w14:textId="77777777" w:rsidR="000F77C4" w:rsidRPr="00733486" w:rsidRDefault="000F77C4" w:rsidP="00BD3E07">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p>
        </w:tc>
        <w:tc>
          <w:tcPr>
            <w:tcW w:w="533"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56D0773D" w14:textId="77777777" w:rsidR="000F77C4" w:rsidRPr="00733486" w:rsidRDefault="000F77C4" w:rsidP="00BD3E07">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p>
        </w:tc>
        <w:tc>
          <w:tcPr>
            <w:tcW w:w="762" w:type="pct"/>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167B4CB5" w14:textId="77777777" w:rsidR="000F77C4" w:rsidRPr="00733486" w:rsidRDefault="000F77C4" w:rsidP="00BD3E07">
            <w:pPr>
              <w:spacing w:after="0" w:line="336" w:lineRule="auto"/>
              <w:ind w:right="-114"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733486">
              <w:rPr>
                <w:rFonts w:ascii="Times New Roman" w:hAnsi="Times New Roman" w:cs="Times New Roman"/>
                <w:sz w:val="26"/>
                <w:szCs w:val="26"/>
              </w:rPr>
              <w:t>Hà Nội</w:t>
            </w:r>
          </w:p>
        </w:tc>
        <w:tc>
          <w:tcPr>
            <w:tcW w:w="762" w:type="pct"/>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133A84AA" w14:textId="77777777" w:rsidR="000F77C4" w:rsidRPr="00733486" w:rsidRDefault="000F77C4" w:rsidP="00BD3E07">
            <w:pPr>
              <w:spacing w:after="0" w:line="336" w:lineRule="auto"/>
              <w:ind w:right="-107"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733486">
              <w:rPr>
                <w:rFonts w:ascii="Times New Roman" w:hAnsi="Times New Roman" w:cs="Times New Roman"/>
                <w:sz w:val="26"/>
                <w:szCs w:val="26"/>
              </w:rPr>
              <w:t>TP. HCM</w:t>
            </w:r>
          </w:p>
        </w:tc>
        <w:tc>
          <w:tcPr>
            <w:tcW w:w="796" w:type="pct"/>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4700171E" w14:textId="77777777" w:rsidR="000F77C4" w:rsidRPr="00733486" w:rsidRDefault="000F77C4" w:rsidP="00BD3E07">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733486">
              <w:rPr>
                <w:rFonts w:ascii="Times New Roman" w:hAnsi="Times New Roman" w:cs="Times New Roman"/>
                <w:sz w:val="26"/>
                <w:szCs w:val="26"/>
              </w:rPr>
              <w:t>Đà Nẵng</w:t>
            </w:r>
          </w:p>
        </w:tc>
      </w:tr>
      <w:tr w:rsidR="00A52CD6" w:rsidRPr="00733486" w14:paraId="30A9F3D2" w14:textId="77777777" w:rsidTr="003C330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7E1A19BD" w14:textId="77777777" w:rsidR="000F77C4" w:rsidRPr="003C3301" w:rsidRDefault="000F77C4" w:rsidP="00BD3E07">
            <w:pPr>
              <w:spacing w:after="0" w:line="336" w:lineRule="auto"/>
              <w:ind w:right="0" w:firstLine="0"/>
              <w:jc w:val="center"/>
              <w:rPr>
                <w:rFonts w:ascii="Times New Roman" w:hAnsi="Times New Roman" w:cs="Times New Roman"/>
                <w:b w:val="0"/>
                <w:bCs w:val="0"/>
                <w:sz w:val="26"/>
                <w:szCs w:val="26"/>
                <w:lang w:val="de-DE"/>
              </w:rPr>
            </w:pPr>
            <w:r w:rsidRPr="003C3301">
              <w:rPr>
                <w:rFonts w:ascii="Times New Roman" w:hAnsi="Times New Roman" w:cs="Times New Roman"/>
                <w:b w:val="0"/>
                <w:bCs w:val="0"/>
                <w:sz w:val="26"/>
                <w:szCs w:val="26"/>
              </w:rPr>
              <w:t>1</w:t>
            </w:r>
          </w:p>
        </w:tc>
        <w:tc>
          <w:tcPr>
            <w:tcW w:w="1769" w:type="pct"/>
            <w:vAlign w:val="center"/>
          </w:tcPr>
          <w:p w14:paraId="4A5A7666" w14:textId="77777777" w:rsidR="000F77C4" w:rsidRPr="00733486" w:rsidRDefault="000F77C4" w:rsidP="00BD3E07">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lang w:eastAsia="vi-VN"/>
              </w:rPr>
              <w:t>X</w:t>
            </w:r>
            <w:r w:rsidRPr="00733486">
              <w:rPr>
                <w:rFonts w:ascii="Times New Roman" w:hAnsi="Times New Roman" w:cs="Times New Roman"/>
                <w:sz w:val="26"/>
                <w:szCs w:val="26"/>
                <w:lang w:val="vi-VN" w:eastAsia="vi-VN"/>
              </w:rPr>
              <w:t>ây tường 220</w:t>
            </w:r>
            <w:r w:rsidRPr="00733486">
              <w:rPr>
                <w:rFonts w:ascii="Times New Roman" w:hAnsi="Times New Roman" w:cs="Times New Roman"/>
                <w:sz w:val="26"/>
                <w:szCs w:val="26"/>
                <w:lang w:eastAsia="vi-VN"/>
              </w:rPr>
              <w:t>mm</w:t>
            </w:r>
          </w:p>
        </w:tc>
        <w:tc>
          <w:tcPr>
            <w:tcW w:w="533" w:type="pct"/>
            <w:vAlign w:val="center"/>
          </w:tcPr>
          <w:p w14:paraId="0B7D01F2" w14:textId="77777777" w:rsidR="000F77C4" w:rsidRPr="00733486" w:rsidRDefault="000F77C4" w:rsidP="00BD3E07">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m3</w:t>
            </w:r>
          </w:p>
        </w:tc>
        <w:tc>
          <w:tcPr>
            <w:tcW w:w="762" w:type="pct"/>
            <w:vAlign w:val="center"/>
          </w:tcPr>
          <w:p w14:paraId="55C0610D" w14:textId="545C3D96" w:rsidR="000F77C4" w:rsidRPr="00733486" w:rsidRDefault="000F77C4" w:rsidP="00BD3E07">
            <w:pPr>
              <w:spacing w:after="0" w:line="336" w:lineRule="auto"/>
              <w:ind w:right="-11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5</w:t>
            </w:r>
            <w:r w:rsidR="009546AF" w:rsidRPr="00733486">
              <w:rPr>
                <w:rFonts w:ascii="Times New Roman" w:hAnsi="Times New Roman" w:cs="Times New Roman"/>
                <w:sz w:val="26"/>
                <w:szCs w:val="26"/>
              </w:rPr>
              <w:t>8</w:t>
            </w:r>
            <w:r w:rsidRPr="00733486">
              <w:rPr>
                <w:rFonts w:ascii="Times New Roman" w:hAnsi="Times New Roman" w:cs="Times New Roman"/>
                <w:sz w:val="26"/>
                <w:szCs w:val="26"/>
              </w:rPr>
              <w:t>0-6</w:t>
            </w:r>
            <w:r w:rsidR="009546AF" w:rsidRPr="00733486">
              <w:rPr>
                <w:rFonts w:ascii="Times New Roman" w:hAnsi="Times New Roman" w:cs="Times New Roman"/>
                <w:sz w:val="26"/>
                <w:szCs w:val="26"/>
              </w:rPr>
              <w:t>5</w:t>
            </w:r>
            <w:r w:rsidRPr="00733486">
              <w:rPr>
                <w:rFonts w:ascii="Times New Roman" w:hAnsi="Times New Roman" w:cs="Times New Roman"/>
                <w:sz w:val="26"/>
                <w:szCs w:val="26"/>
              </w:rPr>
              <w:t>0</w:t>
            </w:r>
          </w:p>
        </w:tc>
        <w:tc>
          <w:tcPr>
            <w:tcW w:w="762" w:type="pct"/>
            <w:vAlign w:val="center"/>
          </w:tcPr>
          <w:p w14:paraId="50581C25" w14:textId="119EEC3B" w:rsidR="000F77C4" w:rsidRPr="00733486" w:rsidRDefault="000F77C4" w:rsidP="00BD3E07">
            <w:pPr>
              <w:spacing w:after="0" w:line="336" w:lineRule="auto"/>
              <w:ind w:right="-10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7</w:t>
            </w:r>
            <w:r w:rsidR="009546AF" w:rsidRPr="00733486">
              <w:rPr>
                <w:rFonts w:ascii="Times New Roman" w:hAnsi="Times New Roman" w:cs="Times New Roman"/>
                <w:sz w:val="26"/>
                <w:szCs w:val="26"/>
              </w:rPr>
              <w:t>4</w:t>
            </w:r>
            <w:r w:rsidRPr="00733486">
              <w:rPr>
                <w:rFonts w:ascii="Times New Roman" w:hAnsi="Times New Roman" w:cs="Times New Roman"/>
                <w:sz w:val="26"/>
                <w:szCs w:val="26"/>
              </w:rPr>
              <w:t>0-810</w:t>
            </w:r>
          </w:p>
        </w:tc>
        <w:tc>
          <w:tcPr>
            <w:tcW w:w="796" w:type="pct"/>
            <w:vAlign w:val="center"/>
          </w:tcPr>
          <w:p w14:paraId="5F3C8AE9" w14:textId="6287EA0E" w:rsidR="000F77C4" w:rsidRPr="00733486" w:rsidRDefault="000F77C4" w:rsidP="00BD3E07">
            <w:pPr>
              <w:spacing w:after="0" w:line="336" w:lineRule="auto"/>
              <w:ind w:right="2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5</w:t>
            </w:r>
            <w:r w:rsidR="009546AF" w:rsidRPr="00733486">
              <w:rPr>
                <w:rFonts w:ascii="Times New Roman" w:hAnsi="Times New Roman" w:cs="Times New Roman"/>
                <w:sz w:val="26"/>
                <w:szCs w:val="26"/>
              </w:rPr>
              <w:t>4</w:t>
            </w:r>
            <w:r w:rsidRPr="00733486">
              <w:rPr>
                <w:rFonts w:ascii="Times New Roman" w:hAnsi="Times New Roman" w:cs="Times New Roman"/>
                <w:sz w:val="26"/>
                <w:szCs w:val="26"/>
              </w:rPr>
              <w:t>0-640</w:t>
            </w:r>
          </w:p>
        </w:tc>
      </w:tr>
      <w:tr w:rsidR="000F77C4" w:rsidRPr="00733486" w14:paraId="42CA15BD" w14:textId="77777777" w:rsidTr="003C3301">
        <w:trPr>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02FB9DB4" w14:textId="77777777" w:rsidR="000F77C4" w:rsidRPr="003C3301" w:rsidRDefault="000F77C4" w:rsidP="00BD3E07">
            <w:pPr>
              <w:spacing w:after="0" w:line="336" w:lineRule="auto"/>
              <w:ind w:right="0" w:firstLine="0"/>
              <w:jc w:val="center"/>
              <w:rPr>
                <w:rFonts w:ascii="Times New Roman" w:hAnsi="Times New Roman" w:cs="Times New Roman"/>
                <w:b w:val="0"/>
                <w:bCs w:val="0"/>
                <w:sz w:val="26"/>
                <w:szCs w:val="26"/>
                <w:lang w:val="de-DE"/>
              </w:rPr>
            </w:pPr>
            <w:r w:rsidRPr="003C3301">
              <w:rPr>
                <w:rFonts w:ascii="Times New Roman" w:hAnsi="Times New Roman" w:cs="Times New Roman"/>
                <w:b w:val="0"/>
                <w:bCs w:val="0"/>
                <w:sz w:val="26"/>
                <w:szCs w:val="26"/>
              </w:rPr>
              <w:t>2</w:t>
            </w:r>
          </w:p>
        </w:tc>
        <w:tc>
          <w:tcPr>
            <w:tcW w:w="1769" w:type="pct"/>
            <w:vAlign w:val="center"/>
          </w:tcPr>
          <w:p w14:paraId="09DDB0C6" w14:textId="77777777" w:rsidR="000F77C4" w:rsidRPr="00733486" w:rsidRDefault="000F77C4" w:rsidP="00BD3E07">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lang w:eastAsia="vi-VN"/>
              </w:rPr>
              <w:t>X</w:t>
            </w:r>
            <w:r w:rsidRPr="00733486">
              <w:rPr>
                <w:rFonts w:ascii="Times New Roman" w:hAnsi="Times New Roman" w:cs="Times New Roman"/>
                <w:sz w:val="26"/>
                <w:szCs w:val="26"/>
                <w:lang w:val="vi-VN" w:eastAsia="vi-VN"/>
              </w:rPr>
              <w:t xml:space="preserve">ây tường </w:t>
            </w:r>
            <w:r w:rsidRPr="00733486">
              <w:rPr>
                <w:rFonts w:ascii="Times New Roman" w:hAnsi="Times New Roman" w:cs="Times New Roman"/>
                <w:sz w:val="26"/>
                <w:szCs w:val="26"/>
                <w:lang w:eastAsia="vi-VN"/>
              </w:rPr>
              <w:t>11</w:t>
            </w:r>
            <w:r w:rsidRPr="00733486">
              <w:rPr>
                <w:rFonts w:ascii="Times New Roman" w:hAnsi="Times New Roman" w:cs="Times New Roman"/>
                <w:sz w:val="26"/>
                <w:szCs w:val="26"/>
                <w:lang w:val="vi-VN" w:eastAsia="vi-VN"/>
              </w:rPr>
              <w:t>0</w:t>
            </w:r>
            <w:r w:rsidRPr="00733486">
              <w:rPr>
                <w:rFonts w:ascii="Times New Roman" w:hAnsi="Times New Roman" w:cs="Times New Roman"/>
                <w:sz w:val="26"/>
                <w:szCs w:val="26"/>
                <w:lang w:eastAsia="vi-VN"/>
              </w:rPr>
              <w:t>mm</w:t>
            </w:r>
          </w:p>
        </w:tc>
        <w:tc>
          <w:tcPr>
            <w:tcW w:w="533" w:type="pct"/>
          </w:tcPr>
          <w:p w14:paraId="18D3601F" w14:textId="77777777" w:rsidR="000F77C4" w:rsidRPr="00733486" w:rsidRDefault="000F77C4" w:rsidP="00BD3E07">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m3</w:t>
            </w:r>
          </w:p>
        </w:tc>
        <w:tc>
          <w:tcPr>
            <w:tcW w:w="762" w:type="pct"/>
          </w:tcPr>
          <w:p w14:paraId="001B349C" w14:textId="7675468E" w:rsidR="000F77C4" w:rsidRPr="00733486" w:rsidRDefault="000F77C4" w:rsidP="00BD3E07">
            <w:pPr>
              <w:spacing w:after="0" w:line="336" w:lineRule="auto"/>
              <w:ind w:right="-11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6</w:t>
            </w:r>
            <w:r w:rsidR="009546AF" w:rsidRPr="00733486">
              <w:rPr>
                <w:rFonts w:ascii="Times New Roman" w:hAnsi="Times New Roman" w:cs="Times New Roman"/>
                <w:sz w:val="26"/>
                <w:szCs w:val="26"/>
              </w:rPr>
              <w:t>8</w:t>
            </w:r>
            <w:r w:rsidRPr="00733486">
              <w:rPr>
                <w:rFonts w:ascii="Times New Roman" w:hAnsi="Times New Roman" w:cs="Times New Roman"/>
                <w:sz w:val="26"/>
                <w:szCs w:val="26"/>
              </w:rPr>
              <w:t>0</w:t>
            </w:r>
          </w:p>
        </w:tc>
        <w:tc>
          <w:tcPr>
            <w:tcW w:w="762" w:type="pct"/>
          </w:tcPr>
          <w:p w14:paraId="2EBE0779" w14:textId="3C6BBCC4" w:rsidR="000F77C4" w:rsidRPr="00733486" w:rsidRDefault="009546AF" w:rsidP="00BD3E07">
            <w:pPr>
              <w:spacing w:after="0" w:line="336" w:lineRule="auto"/>
              <w:ind w:right="-107"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900</w:t>
            </w:r>
          </w:p>
        </w:tc>
        <w:tc>
          <w:tcPr>
            <w:tcW w:w="796" w:type="pct"/>
          </w:tcPr>
          <w:p w14:paraId="4B317108" w14:textId="7B8B90AF" w:rsidR="000F77C4" w:rsidRPr="00733486" w:rsidRDefault="000F77C4" w:rsidP="00BD3E07">
            <w:pPr>
              <w:spacing w:after="0" w:line="336" w:lineRule="auto"/>
              <w:ind w:right="27"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650-7</w:t>
            </w:r>
            <w:r w:rsidR="009546AF" w:rsidRPr="00733486">
              <w:rPr>
                <w:rFonts w:ascii="Times New Roman" w:hAnsi="Times New Roman" w:cs="Times New Roman"/>
                <w:sz w:val="26"/>
                <w:szCs w:val="26"/>
              </w:rPr>
              <w:t>2</w:t>
            </w:r>
            <w:r w:rsidRPr="00733486">
              <w:rPr>
                <w:rFonts w:ascii="Times New Roman" w:hAnsi="Times New Roman" w:cs="Times New Roman"/>
                <w:sz w:val="26"/>
                <w:szCs w:val="26"/>
              </w:rPr>
              <w:t>0</w:t>
            </w:r>
          </w:p>
        </w:tc>
      </w:tr>
      <w:tr w:rsidR="00A52CD6" w:rsidRPr="00733486" w14:paraId="7BA537AF" w14:textId="77777777" w:rsidTr="003C330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5DB0BCF0" w14:textId="77777777" w:rsidR="000F77C4" w:rsidRPr="003C3301" w:rsidRDefault="000F77C4" w:rsidP="00BD3E07">
            <w:pPr>
              <w:spacing w:after="0" w:line="336" w:lineRule="auto"/>
              <w:ind w:right="0" w:firstLine="0"/>
              <w:jc w:val="center"/>
              <w:rPr>
                <w:rFonts w:ascii="Times New Roman" w:hAnsi="Times New Roman" w:cs="Times New Roman"/>
                <w:b w:val="0"/>
                <w:bCs w:val="0"/>
                <w:sz w:val="26"/>
                <w:szCs w:val="26"/>
                <w:lang w:val="de-DE"/>
              </w:rPr>
            </w:pPr>
            <w:r w:rsidRPr="003C3301">
              <w:rPr>
                <w:rFonts w:ascii="Times New Roman" w:hAnsi="Times New Roman" w:cs="Times New Roman"/>
                <w:b w:val="0"/>
                <w:bCs w:val="0"/>
                <w:sz w:val="26"/>
                <w:szCs w:val="26"/>
              </w:rPr>
              <w:t>3</w:t>
            </w:r>
          </w:p>
        </w:tc>
        <w:tc>
          <w:tcPr>
            <w:tcW w:w="1769" w:type="pct"/>
            <w:vAlign w:val="center"/>
          </w:tcPr>
          <w:p w14:paraId="604D35C0" w14:textId="77777777" w:rsidR="000F77C4" w:rsidRPr="00733486" w:rsidRDefault="000F77C4" w:rsidP="00BD3E07">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lang w:eastAsia="vi-VN"/>
              </w:rPr>
              <w:t>Xây gạch không nung</w:t>
            </w:r>
          </w:p>
        </w:tc>
        <w:tc>
          <w:tcPr>
            <w:tcW w:w="533" w:type="pct"/>
          </w:tcPr>
          <w:p w14:paraId="0D13FC8A" w14:textId="77777777" w:rsidR="000F77C4" w:rsidRPr="00733486" w:rsidRDefault="000F77C4" w:rsidP="00BD3E07">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m3</w:t>
            </w:r>
          </w:p>
        </w:tc>
        <w:tc>
          <w:tcPr>
            <w:tcW w:w="762" w:type="pct"/>
          </w:tcPr>
          <w:p w14:paraId="52CC024A" w14:textId="42BF0052" w:rsidR="000F77C4" w:rsidRPr="00733486" w:rsidRDefault="000F77C4" w:rsidP="00BD3E07">
            <w:pPr>
              <w:spacing w:after="0" w:line="336" w:lineRule="auto"/>
              <w:ind w:right="-11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6</w:t>
            </w:r>
            <w:r w:rsidR="009546AF" w:rsidRPr="00733486">
              <w:rPr>
                <w:rFonts w:ascii="Times New Roman" w:hAnsi="Times New Roman" w:cs="Times New Roman"/>
                <w:sz w:val="26"/>
                <w:szCs w:val="26"/>
              </w:rPr>
              <w:t>4</w:t>
            </w:r>
            <w:r w:rsidRPr="00733486">
              <w:rPr>
                <w:rFonts w:ascii="Times New Roman" w:hAnsi="Times New Roman" w:cs="Times New Roman"/>
                <w:sz w:val="26"/>
                <w:szCs w:val="26"/>
              </w:rPr>
              <w:t>0</w:t>
            </w:r>
          </w:p>
        </w:tc>
        <w:tc>
          <w:tcPr>
            <w:tcW w:w="762" w:type="pct"/>
          </w:tcPr>
          <w:p w14:paraId="7780A7A6" w14:textId="29D3EDAC" w:rsidR="000F77C4" w:rsidRPr="00733486" w:rsidRDefault="009546AF" w:rsidP="00BD3E07">
            <w:pPr>
              <w:spacing w:after="0" w:line="336" w:lineRule="auto"/>
              <w:ind w:right="-10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600</w:t>
            </w:r>
          </w:p>
        </w:tc>
        <w:tc>
          <w:tcPr>
            <w:tcW w:w="796" w:type="pct"/>
          </w:tcPr>
          <w:p w14:paraId="1DAC722F" w14:textId="53B29D29" w:rsidR="000F77C4" w:rsidRPr="00733486" w:rsidRDefault="000F77C4" w:rsidP="00BD3E07">
            <w:pPr>
              <w:spacing w:after="0" w:line="336" w:lineRule="auto"/>
              <w:ind w:right="2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5</w:t>
            </w:r>
            <w:r w:rsidR="009546AF" w:rsidRPr="00733486">
              <w:rPr>
                <w:rFonts w:ascii="Times New Roman" w:hAnsi="Times New Roman" w:cs="Times New Roman"/>
                <w:sz w:val="26"/>
                <w:szCs w:val="26"/>
              </w:rPr>
              <w:t>7</w:t>
            </w:r>
            <w:r w:rsidRPr="00733486">
              <w:rPr>
                <w:rFonts w:ascii="Times New Roman" w:hAnsi="Times New Roman" w:cs="Times New Roman"/>
                <w:sz w:val="26"/>
                <w:szCs w:val="26"/>
              </w:rPr>
              <w:t>0</w:t>
            </w:r>
          </w:p>
        </w:tc>
      </w:tr>
      <w:tr w:rsidR="000F77C4" w:rsidRPr="00733486" w14:paraId="0BDE7671" w14:textId="77777777" w:rsidTr="003C3301">
        <w:trPr>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0C5620C6" w14:textId="77777777" w:rsidR="000F77C4" w:rsidRPr="003C3301" w:rsidRDefault="000F77C4" w:rsidP="00BD3E07">
            <w:pPr>
              <w:spacing w:after="0" w:line="336" w:lineRule="auto"/>
              <w:ind w:right="0" w:firstLine="0"/>
              <w:jc w:val="center"/>
              <w:rPr>
                <w:rFonts w:ascii="Times New Roman" w:hAnsi="Times New Roman" w:cs="Times New Roman"/>
                <w:b w:val="0"/>
                <w:bCs w:val="0"/>
                <w:sz w:val="26"/>
                <w:szCs w:val="26"/>
                <w:lang w:val="de-DE"/>
              </w:rPr>
            </w:pPr>
            <w:r w:rsidRPr="003C3301">
              <w:rPr>
                <w:rFonts w:ascii="Times New Roman" w:hAnsi="Times New Roman" w:cs="Times New Roman"/>
                <w:b w:val="0"/>
                <w:bCs w:val="0"/>
                <w:sz w:val="26"/>
                <w:szCs w:val="26"/>
              </w:rPr>
              <w:t>4</w:t>
            </w:r>
          </w:p>
        </w:tc>
        <w:tc>
          <w:tcPr>
            <w:tcW w:w="1769" w:type="pct"/>
            <w:vAlign w:val="center"/>
          </w:tcPr>
          <w:p w14:paraId="5F340A7E" w14:textId="77777777" w:rsidR="000F77C4" w:rsidRPr="00733486" w:rsidRDefault="000F77C4" w:rsidP="00BD3E07">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lang w:eastAsia="vi-VN"/>
              </w:rPr>
              <w:t>T</w:t>
            </w:r>
            <w:r w:rsidRPr="00733486">
              <w:rPr>
                <w:rFonts w:ascii="Times New Roman" w:hAnsi="Times New Roman" w:cs="Times New Roman"/>
                <w:sz w:val="26"/>
                <w:szCs w:val="26"/>
                <w:lang w:val="vi-VN" w:eastAsia="vi-VN"/>
              </w:rPr>
              <w:t xml:space="preserve">rát tường </w:t>
            </w:r>
            <w:r w:rsidRPr="00733486">
              <w:rPr>
                <w:rFonts w:ascii="Times New Roman" w:hAnsi="Times New Roman" w:cs="Times New Roman"/>
                <w:sz w:val="26"/>
                <w:szCs w:val="26"/>
                <w:lang w:eastAsia="vi-VN"/>
              </w:rPr>
              <w:t>trong nhà</w:t>
            </w:r>
          </w:p>
        </w:tc>
        <w:tc>
          <w:tcPr>
            <w:tcW w:w="533" w:type="pct"/>
          </w:tcPr>
          <w:p w14:paraId="6A837750" w14:textId="77777777" w:rsidR="000F77C4" w:rsidRPr="00733486" w:rsidRDefault="000F77C4" w:rsidP="00BD3E07">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m2</w:t>
            </w:r>
          </w:p>
        </w:tc>
        <w:tc>
          <w:tcPr>
            <w:tcW w:w="762" w:type="pct"/>
          </w:tcPr>
          <w:p w14:paraId="50851559" w14:textId="77777777" w:rsidR="000F77C4" w:rsidRPr="00733486" w:rsidRDefault="000F77C4" w:rsidP="00BD3E07">
            <w:pPr>
              <w:spacing w:after="0" w:line="336" w:lineRule="auto"/>
              <w:ind w:right="-11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85</w:t>
            </w:r>
          </w:p>
        </w:tc>
        <w:tc>
          <w:tcPr>
            <w:tcW w:w="762" w:type="pct"/>
          </w:tcPr>
          <w:p w14:paraId="1C90D6A5" w14:textId="7C5C5848" w:rsidR="000F77C4" w:rsidRPr="00733486" w:rsidRDefault="000F77C4" w:rsidP="00BD3E07">
            <w:pPr>
              <w:spacing w:after="0" w:line="336" w:lineRule="auto"/>
              <w:ind w:right="-107"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6"/>
                <w:szCs w:val="26"/>
                <w:lang w:val="de-DE"/>
              </w:rPr>
            </w:pPr>
            <w:r w:rsidRPr="00733486">
              <w:rPr>
                <w:rFonts w:ascii="Times New Roman" w:hAnsi="Times New Roman" w:cs="Times New Roman"/>
                <w:bCs/>
                <w:sz w:val="26"/>
                <w:szCs w:val="26"/>
                <w:lang w:val="de-DE"/>
              </w:rPr>
              <w:t>8</w:t>
            </w:r>
            <w:r w:rsidR="009546AF" w:rsidRPr="00733486">
              <w:rPr>
                <w:rFonts w:ascii="Times New Roman" w:hAnsi="Times New Roman" w:cs="Times New Roman"/>
                <w:bCs/>
                <w:sz w:val="26"/>
                <w:szCs w:val="26"/>
                <w:lang w:val="de-DE"/>
              </w:rPr>
              <w:t>5</w:t>
            </w:r>
          </w:p>
        </w:tc>
        <w:tc>
          <w:tcPr>
            <w:tcW w:w="796" w:type="pct"/>
          </w:tcPr>
          <w:p w14:paraId="7B872D36" w14:textId="75E498B5" w:rsidR="000F77C4" w:rsidRPr="00733486" w:rsidRDefault="009546AF" w:rsidP="00BD3E07">
            <w:pPr>
              <w:spacing w:after="0" w:line="336" w:lineRule="auto"/>
              <w:ind w:right="27"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6"/>
                <w:szCs w:val="26"/>
                <w:lang w:val="de-DE"/>
              </w:rPr>
            </w:pPr>
            <w:r w:rsidRPr="00733486">
              <w:rPr>
                <w:rFonts w:ascii="Times New Roman" w:hAnsi="Times New Roman" w:cs="Times New Roman"/>
                <w:bCs/>
                <w:sz w:val="26"/>
                <w:szCs w:val="26"/>
                <w:lang w:val="de-DE"/>
              </w:rPr>
              <w:t>70</w:t>
            </w:r>
          </w:p>
        </w:tc>
      </w:tr>
      <w:tr w:rsidR="00A52CD6" w:rsidRPr="00733486" w14:paraId="0AC4BD49" w14:textId="77777777" w:rsidTr="003C330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70729069" w14:textId="77777777" w:rsidR="000F77C4" w:rsidRPr="003C3301" w:rsidRDefault="000F77C4" w:rsidP="00BD3E07">
            <w:pPr>
              <w:spacing w:after="0" w:line="336" w:lineRule="auto"/>
              <w:ind w:right="0" w:firstLine="0"/>
              <w:jc w:val="center"/>
              <w:rPr>
                <w:rFonts w:ascii="Times New Roman" w:hAnsi="Times New Roman" w:cs="Times New Roman"/>
                <w:b w:val="0"/>
                <w:bCs w:val="0"/>
                <w:sz w:val="26"/>
                <w:szCs w:val="26"/>
                <w:lang w:val="de-DE"/>
              </w:rPr>
            </w:pPr>
            <w:r w:rsidRPr="003C3301">
              <w:rPr>
                <w:rFonts w:ascii="Times New Roman" w:hAnsi="Times New Roman" w:cs="Times New Roman"/>
                <w:b w:val="0"/>
                <w:bCs w:val="0"/>
                <w:sz w:val="26"/>
                <w:szCs w:val="26"/>
              </w:rPr>
              <w:t>5</w:t>
            </w:r>
          </w:p>
        </w:tc>
        <w:tc>
          <w:tcPr>
            <w:tcW w:w="1769" w:type="pct"/>
            <w:vAlign w:val="center"/>
          </w:tcPr>
          <w:p w14:paraId="761AF14B" w14:textId="77777777" w:rsidR="000F77C4" w:rsidRPr="00733486" w:rsidRDefault="000F77C4" w:rsidP="00BD3E07">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lang w:eastAsia="vi-VN"/>
              </w:rPr>
              <w:t>T</w:t>
            </w:r>
            <w:r w:rsidRPr="00733486">
              <w:rPr>
                <w:rFonts w:ascii="Times New Roman" w:hAnsi="Times New Roman" w:cs="Times New Roman"/>
                <w:sz w:val="26"/>
                <w:szCs w:val="26"/>
                <w:lang w:val="vi-VN" w:eastAsia="vi-VN"/>
              </w:rPr>
              <w:t xml:space="preserve">rát </w:t>
            </w:r>
            <w:r w:rsidRPr="00733486">
              <w:rPr>
                <w:rFonts w:ascii="Times New Roman" w:hAnsi="Times New Roman" w:cs="Times New Roman"/>
                <w:sz w:val="26"/>
                <w:szCs w:val="26"/>
                <w:lang w:eastAsia="vi-VN"/>
              </w:rPr>
              <w:t>trần, dầm, cột</w:t>
            </w:r>
          </w:p>
        </w:tc>
        <w:tc>
          <w:tcPr>
            <w:tcW w:w="533" w:type="pct"/>
          </w:tcPr>
          <w:p w14:paraId="02A7D2D8" w14:textId="77777777" w:rsidR="000F77C4" w:rsidRPr="00733486" w:rsidRDefault="000F77C4" w:rsidP="00BD3E07">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m2</w:t>
            </w:r>
          </w:p>
        </w:tc>
        <w:tc>
          <w:tcPr>
            <w:tcW w:w="762" w:type="pct"/>
          </w:tcPr>
          <w:p w14:paraId="7B506109" w14:textId="27A25FE4" w:rsidR="000F77C4" w:rsidRPr="00733486" w:rsidRDefault="000F77C4" w:rsidP="00BD3E07">
            <w:pPr>
              <w:spacing w:after="0" w:line="336" w:lineRule="auto"/>
              <w:ind w:right="-11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8</w:t>
            </w:r>
            <w:r w:rsidR="009546AF" w:rsidRPr="00733486">
              <w:rPr>
                <w:rFonts w:ascii="Times New Roman" w:hAnsi="Times New Roman" w:cs="Times New Roman"/>
                <w:sz w:val="26"/>
                <w:szCs w:val="26"/>
              </w:rPr>
              <w:t>5</w:t>
            </w:r>
          </w:p>
        </w:tc>
        <w:tc>
          <w:tcPr>
            <w:tcW w:w="762" w:type="pct"/>
          </w:tcPr>
          <w:p w14:paraId="55A79BCB" w14:textId="77777777" w:rsidR="000F77C4" w:rsidRPr="00733486" w:rsidRDefault="000F77C4" w:rsidP="00BD3E07">
            <w:pPr>
              <w:spacing w:after="0" w:line="336" w:lineRule="auto"/>
              <w:ind w:right="-10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90</w:t>
            </w:r>
          </w:p>
        </w:tc>
        <w:tc>
          <w:tcPr>
            <w:tcW w:w="796" w:type="pct"/>
          </w:tcPr>
          <w:p w14:paraId="1A109F87" w14:textId="77777777" w:rsidR="000F77C4" w:rsidRPr="00733486" w:rsidRDefault="000F77C4" w:rsidP="00BD3E07">
            <w:pPr>
              <w:spacing w:after="0" w:line="336" w:lineRule="auto"/>
              <w:ind w:right="2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733486">
              <w:rPr>
                <w:rFonts w:ascii="Times New Roman" w:hAnsi="Times New Roman" w:cs="Times New Roman"/>
                <w:sz w:val="26"/>
                <w:szCs w:val="26"/>
              </w:rPr>
              <w:t>75</w:t>
            </w:r>
          </w:p>
        </w:tc>
      </w:tr>
      <w:tr w:rsidR="000F77C4" w:rsidRPr="00733486" w14:paraId="06F7D53F" w14:textId="77777777" w:rsidTr="003C3301">
        <w:trPr>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389E58AF"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6</w:t>
            </w:r>
          </w:p>
        </w:tc>
        <w:tc>
          <w:tcPr>
            <w:tcW w:w="1769" w:type="pct"/>
            <w:vAlign w:val="center"/>
          </w:tcPr>
          <w:p w14:paraId="2DBD1023" w14:textId="77777777" w:rsidR="000F77C4" w:rsidRPr="00733486" w:rsidRDefault="000F77C4" w:rsidP="00BD3E07">
            <w:pPr>
              <w:spacing w:after="0" w:line="33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eastAsia="vi-VN"/>
              </w:rPr>
            </w:pPr>
            <w:r w:rsidRPr="00733486">
              <w:rPr>
                <w:rFonts w:ascii="Times New Roman" w:hAnsi="Times New Roman" w:cs="Times New Roman"/>
                <w:sz w:val="26"/>
                <w:szCs w:val="26"/>
                <w:lang w:eastAsia="vi-VN"/>
              </w:rPr>
              <w:t>T</w:t>
            </w:r>
            <w:r w:rsidRPr="00733486">
              <w:rPr>
                <w:rFonts w:ascii="Times New Roman" w:hAnsi="Times New Roman" w:cs="Times New Roman"/>
                <w:sz w:val="26"/>
                <w:szCs w:val="26"/>
                <w:lang w:val="vi-VN" w:eastAsia="vi-VN"/>
              </w:rPr>
              <w:t>rát tường ngoài nhà không trừ cửa sổ và các lỗ (chưa có công bắc giáo)</w:t>
            </w:r>
          </w:p>
        </w:tc>
        <w:tc>
          <w:tcPr>
            <w:tcW w:w="533" w:type="pct"/>
          </w:tcPr>
          <w:p w14:paraId="4920CB08" w14:textId="77777777" w:rsidR="000F77C4" w:rsidRPr="00733486" w:rsidRDefault="000F77C4" w:rsidP="00BD3E07">
            <w:pPr>
              <w:spacing w:after="0" w:line="336" w:lineRule="auto"/>
              <w:ind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m2</w:t>
            </w:r>
          </w:p>
        </w:tc>
        <w:tc>
          <w:tcPr>
            <w:tcW w:w="762" w:type="pct"/>
          </w:tcPr>
          <w:p w14:paraId="0A19D437" w14:textId="5381332A" w:rsidR="000F77C4" w:rsidRPr="00733486" w:rsidRDefault="000F77C4" w:rsidP="00BD3E07">
            <w:pPr>
              <w:spacing w:after="0" w:line="33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9</w:t>
            </w:r>
            <w:r w:rsidR="009546AF" w:rsidRPr="00733486">
              <w:rPr>
                <w:rFonts w:ascii="Times New Roman" w:hAnsi="Times New Roman" w:cs="Times New Roman"/>
                <w:sz w:val="26"/>
                <w:szCs w:val="26"/>
              </w:rPr>
              <w:t>5</w:t>
            </w:r>
          </w:p>
        </w:tc>
        <w:tc>
          <w:tcPr>
            <w:tcW w:w="762" w:type="pct"/>
          </w:tcPr>
          <w:p w14:paraId="1BEF0172" w14:textId="77777777" w:rsidR="000F77C4" w:rsidRPr="00733486" w:rsidRDefault="000F77C4" w:rsidP="00BD3E07">
            <w:pPr>
              <w:spacing w:after="0" w:line="33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95</w:t>
            </w:r>
          </w:p>
        </w:tc>
        <w:tc>
          <w:tcPr>
            <w:tcW w:w="796" w:type="pct"/>
          </w:tcPr>
          <w:p w14:paraId="3B17467C" w14:textId="77777777" w:rsidR="000F77C4" w:rsidRPr="00733486" w:rsidRDefault="000F77C4" w:rsidP="00BD3E07">
            <w:pPr>
              <w:spacing w:after="0" w:line="33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85</w:t>
            </w:r>
          </w:p>
        </w:tc>
      </w:tr>
      <w:tr w:rsidR="00A52CD6" w:rsidRPr="00733486" w14:paraId="56793168" w14:textId="77777777" w:rsidTr="003C330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6CBC8F53"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7</w:t>
            </w:r>
          </w:p>
        </w:tc>
        <w:tc>
          <w:tcPr>
            <w:tcW w:w="1769" w:type="pct"/>
            <w:vAlign w:val="center"/>
          </w:tcPr>
          <w:p w14:paraId="18D36142" w14:textId="77777777" w:rsidR="000F77C4" w:rsidRPr="00733486" w:rsidRDefault="000F77C4" w:rsidP="00BD3E07">
            <w:pPr>
              <w:spacing w:after="0" w:line="33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eastAsia="vi-VN"/>
              </w:rPr>
            </w:pPr>
            <w:r w:rsidRPr="00733486">
              <w:rPr>
                <w:rFonts w:ascii="Times New Roman" w:hAnsi="Times New Roman" w:cs="Times New Roman"/>
                <w:sz w:val="26"/>
                <w:szCs w:val="26"/>
                <w:lang w:eastAsia="vi-VN"/>
              </w:rPr>
              <w:t xml:space="preserve">Tháo lắp giáo </w:t>
            </w:r>
          </w:p>
        </w:tc>
        <w:tc>
          <w:tcPr>
            <w:tcW w:w="533" w:type="pct"/>
          </w:tcPr>
          <w:p w14:paraId="0046EF6E" w14:textId="77777777" w:rsidR="000F77C4" w:rsidRPr="00733486" w:rsidRDefault="000F77C4" w:rsidP="00BD3E07">
            <w:pPr>
              <w:spacing w:after="0" w:line="336" w:lineRule="auto"/>
              <w:ind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m2</w:t>
            </w:r>
          </w:p>
        </w:tc>
        <w:tc>
          <w:tcPr>
            <w:tcW w:w="762" w:type="pct"/>
          </w:tcPr>
          <w:p w14:paraId="3C5C0941" w14:textId="77777777" w:rsidR="000F77C4" w:rsidRPr="00733486" w:rsidRDefault="000F77C4" w:rsidP="00BD3E07">
            <w:pPr>
              <w:spacing w:after="0" w:line="33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25</w:t>
            </w:r>
          </w:p>
        </w:tc>
        <w:tc>
          <w:tcPr>
            <w:tcW w:w="762" w:type="pct"/>
          </w:tcPr>
          <w:p w14:paraId="31DBE898" w14:textId="607AEB7F" w:rsidR="000F77C4" w:rsidRPr="00733486" w:rsidRDefault="009546AF" w:rsidP="00BD3E07">
            <w:pPr>
              <w:spacing w:after="0" w:line="33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30</w:t>
            </w:r>
          </w:p>
        </w:tc>
        <w:tc>
          <w:tcPr>
            <w:tcW w:w="796" w:type="pct"/>
          </w:tcPr>
          <w:p w14:paraId="5C76D93F" w14:textId="77777777" w:rsidR="000F77C4" w:rsidRPr="00733486" w:rsidRDefault="000F77C4" w:rsidP="00BD3E07">
            <w:pPr>
              <w:spacing w:after="0" w:line="33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20</w:t>
            </w:r>
          </w:p>
        </w:tc>
      </w:tr>
      <w:tr w:rsidR="000F77C4" w:rsidRPr="00733486" w14:paraId="20A1C5C4" w14:textId="77777777" w:rsidTr="003C3301">
        <w:trPr>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026955BA"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8</w:t>
            </w:r>
          </w:p>
        </w:tc>
        <w:tc>
          <w:tcPr>
            <w:tcW w:w="1769" w:type="pct"/>
            <w:vAlign w:val="center"/>
          </w:tcPr>
          <w:p w14:paraId="1E0A661D" w14:textId="77777777" w:rsidR="000F77C4" w:rsidRPr="00733486" w:rsidRDefault="000F77C4" w:rsidP="00BD3E07">
            <w:pPr>
              <w:spacing w:after="0" w:line="33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eastAsia="vi-VN"/>
              </w:rPr>
            </w:pPr>
            <w:r w:rsidRPr="00733486">
              <w:rPr>
                <w:rFonts w:ascii="Times New Roman" w:hAnsi="Times New Roman" w:cs="Times New Roman"/>
                <w:sz w:val="26"/>
                <w:szCs w:val="26"/>
                <w:lang w:eastAsia="vi-VN"/>
              </w:rPr>
              <w:t>Ốp</w:t>
            </w:r>
          </w:p>
        </w:tc>
        <w:tc>
          <w:tcPr>
            <w:tcW w:w="533" w:type="pct"/>
          </w:tcPr>
          <w:p w14:paraId="0FFC1A17" w14:textId="77777777" w:rsidR="000F77C4" w:rsidRPr="00733486" w:rsidRDefault="000F77C4" w:rsidP="00BD3E07">
            <w:pPr>
              <w:spacing w:after="0" w:line="336" w:lineRule="auto"/>
              <w:ind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m2</w:t>
            </w:r>
          </w:p>
        </w:tc>
        <w:tc>
          <w:tcPr>
            <w:tcW w:w="762" w:type="pct"/>
          </w:tcPr>
          <w:p w14:paraId="5581ADA2" w14:textId="0A6A37BD" w:rsidR="000F77C4" w:rsidRPr="00733486" w:rsidRDefault="000F77C4" w:rsidP="00BD3E07">
            <w:pPr>
              <w:spacing w:after="0" w:line="33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12</w:t>
            </w:r>
            <w:r w:rsidR="009546AF" w:rsidRPr="00733486">
              <w:rPr>
                <w:rFonts w:ascii="Times New Roman" w:hAnsi="Times New Roman" w:cs="Times New Roman"/>
                <w:sz w:val="26"/>
                <w:szCs w:val="26"/>
              </w:rPr>
              <w:t>5</w:t>
            </w:r>
          </w:p>
        </w:tc>
        <w:tc>
          <w:tcPr>
            <w:tcW w:w="762" w:type="pct"/>
          </w:tcPr>
          <w:p w14:paraId="6AEF126A" w14:textId="76493C2D" w:rsidR="000F77C4" w:rsidRPr="00733486" w:rsidRDefault="000F77C4" w:rsidP="00BD3E07">
            <w:pPr>
              <w:spacing w:after="0" w:line="33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w:t>
            </w:r>
            <w:r w:rsidR="009546AF" w:rsidRPr="00733486">
              <w:rPr>
                <w:rFonts w:ascii="Times New Roman" w:hAnsi="Times New Roman" w:cs="Times New Roman"/>
                <w:sz w:val="26"/>
                <w:szCs w:val="26"/>
              </w:rPr>
              <w:t>30</w:t>
            </w:r>
          </w:p>
        </w:tc>
        <w:tc>
          <w:tcPr>
            <w:tcW w:w="796" w:type="pct"/>
          </w:tcPr>
          <w:p w14:paraId="70A2624B" w14:textId="0B0DBB41" w:rsidR="000F77C4" w:rsidRPr="00733486" w:rsidRDefault="009546AF" w:rsidP="00BD3E07">
            <w:pPr>
              <w:spacing w:after="0" w:line="33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10</w:t>
            </w:r>
            <w:r w:rsidR="000F77C4" w:rsidRPr="00733486">
              <w:rPr>
                <w:rFonts w:ascii="Times New Roman" w:hAnsi="Times New Roman" w:cs="Times New Roman"/>
                <w:sz w:val="26"/>
                <w:szCs w:val="26"/>
              </w:rPr>
              <w:t>0</w:t>
            </w:r>
          </w:p>
        </w:tc>
      </w:tr>
      <w:tr w:rsidR="00A52CD6" w:rsidRPr="00733486" w14:paraId="73165BE0" w14:textId="77777777" w:rsidTr="003C330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792CC70B"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9</w:t>
            </w:r>
          </w:p>
        </w:tc>
        <w:tc>
          <w:tcPr>
            <w:tcW w:w="1769" w:type="pct"/>
            <w:vAlign w:val="center"/>
          </w:tcPr>
          <w:p w14:paraId="45DCDED7" w14:textId="77777777" w:rsidR="000F77C4" w:rsidRPr="00733486" w:rsidRDefault="000F77C4" w:rsidP="00BD3E07">
            <w:pPr>
              <w:spacing w:after="0" w:line="33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eastAsia="vi-VN"/>
              </w:rPr>
            </w:pPr>
            <w:r w:rsidRPr="00733486">
              <w:rPr>
                <w:rFonts w:ascii="Times New Roman" w:hAnsi="Times New Roman" w:cs="Times New Roman"/>
                <w:sz w:val="26"/>
                <w:szCs w:val="26"/>
                <w:lang w:eastAsia="vi-VN"/>
              </w:rPr>
              <w:t>L</w:t>
            </w:r>
            <w:r w:rsidRPr="00733486">
              <w:rPr>
                <w:rFonts w:ascii="Times New Roman" w:hAnsi="Times New Roman" w:cs="Times New Roman"/>
                <w:sz w:val="26"/>
                <w:szCs w:val="26"/>
                <w:lang w:val="vi-VN" w:eastAsia="vi-VN"/>
              </w:rPr>
              <w:t>át</w:t>
            </w:r>
          </w:p>
        </w:tc>
        <w:tc>
          <w:tcPr>
            <w:tcW w:w="533" w:type="pct"/>
          </w:tcPr>
          <w:p w14:paraId="455DC309" w14:textId="77777777" w:rsidR="000F77C4" w:rsidRPr="00733486" w:rsidRDefault="000F77C4" w:rsidP="00BD3E07">
            <w:pPr>
              <w:spacing w:after="0" w:line="336" w:lineRule="auto"/>
              <w:ind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m2</w:t>
            </w:r>
          </w:p>
        </w:tc>
        <w:tc>
          <w:tcPr>
            <w:tcW w:w="762" w:type="pct"/>
          </w:tcPr>
          <w:p w14:paraId="390FFD72" w14:textId="7EE91325" w:rsidR="000F77C4" w:rsidRPr="00733486" w:rsidRDefault="009546AF" w:rsidP="00BD3E07">
            <w:pPr>
              <w:spacing w:after="0" w:line="33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100</w:t>
            </w:r>
          </w:p>
        </w:tc>
        <w:tc>
          <w:tcPr>
            <w:tcW w:w="762" w:type="pct"/>
          </w:tcPr>
          <w:p w14:paraId="357ADBB3" w14:textId="2F18D19B" w:rsidR="000F77C4" w:rsidRPr="00733486" w:rsidRDefault="009546AF" w:rsidP="00BD3E07">
            <w:pPr>
              <w:spacing w:after="0" w:line="33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95</w:t>
            </w:r>
          </w:p>
        </w:tc>
        <w:tc>
          <w:tcPr>
            <w:tcW w:w="796" w:type="pct"/>
          </w:tcPr>
          <w:p w14:paraId="454B4156" w14:textId="06B23E3E" w:rsidR="000F77C4" w:rsidRPr="00733486" w:rsidRDefault="009546AF" w:rsidP="00BD3E07">
            <w:pPr>
              <w:spacing w:after="0" w:line="33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85</w:t>
            </w:r>
          </w:p>
        </w:tc>
      </w:tr>
      <w:tr w:rsidR="000F77C4" w:rsidRPr="00733486" w14:paraId="3256C819" w14:textId="77777777" w:rsidTr="003C3301">
        <w:trPr>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3BCFA633"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10</w:t>
            </w:r>
          </w:p>
        </w:tc>
        <w:tc>
          <w:tcPr>
            <w:tcW w:w="1769" w:type="pct"/>
            <w:vAlign w:val="center"/>
          </w:tcPr>
          <w:p w14:paraId="2827B5E4" w14:textId="77777777" w:rsidR="000F77C4" w:rsidRPr="00733486" w:rsidRDefault="000F77C4" w:rsidP="00BD3E07">
            <w:pPr>
              <w:spacing w:after="0" w:line="33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eastAsia="vi-VN"/>
              </w:rPr>
            </w:pPr>
            <w:r w:rsidRPr="00733486">
              <w:rPr>
                <w:rFonts w:ascii="Times New Roman" w:hAnsi="Times New Roman" w:cs="Times New Roman"/>
                <w:sz w:val="26"/>
                <w:szCs w:val="26"/>
                <w:lang w:eastAsia="vi-VN"/>
              </w:rPr>
              <w:t>Xây bậc thang (chiều dài bậc 1</w:t>
            </w:r>
            <w:r w:rsidRPr="00733486">
              <w:rPr>
                <w:rFonts w:ascii="Times New Roman" w:hAnsi="Times New Roman" w:cs="Times New Roman"/>
                <w:sz w:val="26"/>
                <w:szCs w:val="26"/>
              </w:rPr>
              <w:t>÷</w:t>
            </w:r>
            <w:r w:rsidRPr="00733486">
              <w:rPr>
                <w:rFonts w:ascii="Times New Roman" w:hAnsi="Times New Roman" w:cs="Times New Roman"/>
                <w:sz w:val="26"/>
                <w:szCs w:val="26"/>
                <w:lang w:eastAsia="vi-VN"/>
              </w:rPr>
              <w:t>1,2m)</w:t>
            </w:r>
          </w:p>
        </w:tc>
        <w:tc>
          <w:tcPr>
            <w:tcW w:w="533" w:type="pct"/>
          </w:tcPr>
          <w:p w14:paraId="1679AA9F" w14:textId="77777777" w:rsidR="000F77C4" w:rsidRPr="00733486" w:rsidRDefault="000F77C4" w:rsidP="00BD3E07">
            <w:pPr>
              <w:spacing w:after="0" w:line="336" w:lineRule="auto"/>
              <w:ind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bậc</w:t>
            </w:r>
          </w:p>
        </w:tc>
        <w:tc>
          <w:tcPr>
            <w:tcW w:w="762" w:type="pct"/>
          </w:tcPr>
          <w:p w14:paraId="5493517B" w14:textId="67AE58C7" w:rsidR="000F77C4" w:rsidRPr="00733486" w:rsidRDefault="009546AF" w:rsidP="00BD3E07">
            <w:pPr>
              <w:spacing w:after="0" w:line="33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85</w:t>
            </w:r>
          </w:p>
        </w:tc>
        <w:tc>
          <w:tcPr>
            <w:tcW w:w="762" w:type="pct"/>
          </w:tcPr>
          <w:p w14:paraId="32A9AC9B" w14:textId="77777777" w:rsidR="000F77C4" w:rsidRPr="00733486" w:rsidRDefault="000F77C4" w:rsidP="00BD3E07">
            <w:pPr>
              <w:spacing w:after="0" w:line="33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90</w:t>
            </w:r>
          </w:p>
        </w:tc>
        <w:tc>
          <w:tcPr>
            <w:tcW w:w="796" w:type="pct"/>
          </w:tcPr>
          <w:p w14:paraId="324F96BE" w14:textId="77777777" w:rsidR="000F77C4" w:rsidRPr="00733486" w:rsidRDefault="000F77C4" w:rsidP="00BD3E07">
            <w:pPr>
              <w:spacing w:after="0" w:line="33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85</w:t>
            </w:r>
          </w:p>
        </w:tc>
      </w:tr>
      <w:tr w:rsidR="00A52CD6" w:rsidRPr="00733486" w14:paraId="4AD97A88" w14:textId="77777777" w:rsidTr="003C330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46472F17"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11</w:t>
            </w:r>
          </w:p>
        </w:tc>
        <w:tc>
          <w:tcPr>
            <w:tcW w:w="1769" w:type="pct"/>
            <w:vAlign w:val="center"/>
          </w:tcPr>
          <w:p w14:paraId="33E64E30" w14:textId="77777777" w:rsidR="000F77C4" w:rsidRPr="00733486" w:rsidRDefault="000F77C4" w:rsidP="00BD3E07">
            <w:pPr>
              <w:spacing w:after="0" w:line="33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eastAsia="vi-VN"/>
              </w:rPr>
            </w:pPr>
            <w:r w:rsidRPr="00733486">
              <w:rPr>
                <w:rFonts w:ascii="Times New Roman" w:hAnsi="Times New Roman" w:cs="Times New Roman"/>
                <w:sz w:val="26"/>
                <w:szCs w:val="26"/>
                <w:lang w:eastAsia="vi-VN"/>
              </w:rPr>
              <w:t>Trát bậc thang (chiều dài bậc 1</w:t>
            </w:r>
            <w:r w:rsidRPr="00733486">
              <w:rPr>
                <w:rFonts w:ascii="Times New Roman" w:hAnsi="Times New Roman" w:cs="Times New Roman"/>
                <w:sz w:val="26"/>
                <w:szCs w:val="26"/>
              </w:rPr>
              <w:t>÷</w:t>
            </w:r>
            <w:r w:rsidRPr="00733486">
              <w:rPr>
                <w:rFonts w:ascii="Times New Roman" w:hAnsi="Times New Roman" w:cs="Times New Roman"/>
                <w:sz w:val="26"/>
                <w:szCs w:val="26"/>
                <w:lang w:eastAsia="vi-VN"/>
              </w:rPr>
              <w:t>1,2m)</w:t>
            </w:r>
          </w:p>
        </w:tc>
        <w:tc>
          <w:tcPr>
            <w:tcW w:w="533" w:type="pct"/>
          </w:tcPr>
          <w:p w14:paraId="25525032" w14:textId="77777777" w:rsidR="000F77C4" w:rsidRPr="00733486" w:rsidRDefault="000F77C4" w:rsidP="00BD3E07">
            <w:pPr>
              <w:spacing w:after="0" w:line="336" w:lineRule="auto"/>
              <w:ind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m2</w:t>
            </w:r>
          </w:p>
        </w:tc>
        <w:tc>
          <w:tcPr>
            <w:tcW w:w="762" w:type="pct"/>
          </w:tcPr>
          <w:p w14:paraId="61DB4FF3" w14:textId="5C0DFE84" w:rsidR="000F77C4" w:rsidRPr="00733486" w:rsidRDefault="009546AF" w:rsidP="00BD3E07">
            <w:pPr>
              <w:spacing w:after="0" w:line="33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80</w:t>
            </w:r>
          </w:p>
        </w:tc>
        <w:tc>
          <w:tcPr>
            <w:tcW w:w="762" w:type="pct"/>
          </w:tcPr>
          <w:p w14:paraId="3597098D" w14:textId="77777777" w:rsidR="000F77C4" w:rsidRPr="00733486" w:rsidRDefault="000F77C4" w:rsidP="00BD3E07">
            <w:pPr>
              <w:spacing w:after="0" w:line="33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80</w:t>
            </w:r>
          </w:p>
        </w:tc>
        <w:tc>
          <w:tcPr>
            <w:tcW w:w="796" w:type="pct"/>
          </w:tcPr>
          <w:p w14:paraId="7E562BC1" w14:textId="77777777" w:rsidR="000F77C4" w:rsidRPr="00733486" w:rsidRDefault="000F77C4" w:rsidP="00BD3E07">
            <w:pPr>
              <w:spacing w:after="0" w:line="33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65</w:t>
            </w:r>
          </w:p>
        </w:tc>
      </w:tr>
      <w:tr w:rsidR="000F77C4" w:rsidRPr="00733486" w14:paraId="0EA40B6F" w14:textId="77777777" w:rsidTr="003C3301">
        <w:trPr>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143E9125"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12</w:t>
            </w:r>
          </w:p>
        </w:tc>
        <w:tc>
          <w:tcPr>
            <w:tcW w:w="1769" w:type="pct"/>
            <w:vAlign w:val="center"/>
          </w:tcPr>
          <w:p w14:paraId="3F52F4D5" w14:textId="77777777" w:rsidR="000F77C4" w:rsidRPr="00733486" w:rsidRDefault="000F77C4" w:rsidP="00BD3E07">
            <w:pPr>
              <w:spacing w:after="0" w:line="33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eastAsia="vi-VN"/>
              </w:rPr>
            </w:pPr>
            <w:r w:rsidRPr="00733486">
              <w:rPr>
                <w:rFonts w:ascii="Times New Roman" w:hAnsi="Times New Roman" w:cs="Times New Roman"/>
                <w:sz w:val="26"/>
                <w:szCs w:val="26"/>
              </w:rPr>
              <w:t>Làm granito bao gồm trát lót</w:t>
            </w:r>
          </w:p>
        </w:tc>
        <w:tc>
          <w:tcPr>
            <w:tcW w:w="533" w:type="pct"/>
          </w:tcPr>
          <w:p w14:paraId="6C8778A7" w14:textId="77777777" w:rsidR="000F77C4" w:rsidRPr="00733486" w:rsidRDefault="000F77C4" w:rsidP="00BD3E07">
            <w:pPr>
              <w:spacing w:after="0" w:line="336" w:lineRule="auto"/>
              <w:ind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m2</w:t>
            </w:r>
          </w:p>
        </w:tc>
        <w:tc>
          <w:tcPr>
            <w:tcW w:w="762" w:type="pct"/>
          </w:tcPr>
          <w:p w14:paraId="242C8060" w14:textId="77777777" w:rsidR="000F77C4" w:rsidRPr="00733486" w:rsidRDefault="000F77C4" w:rsidP="00BD3E07">
            <w:pPr>
              <w:spacing w:after="0" w:line="33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230</w:t>
            </w:r>
          </w:p>
        </w:tc>
        <w:tc>
          <w:tcPr>
            <w:tcW w:w="762" w:type="pct"/>
          </w:tcPr>
          <w:p w14:paraId="5A45B751" w14:textId="6E22E93F" w:rsidR="000F77C4" w:rsidRPr="00733486" w:rsidRDefault="000F77C4" w:rsidP="00BD3E07">
            <w:pPr>
              <w:spacing w:after="0" w:line="33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2</w:t>
            </w:r>
            <w:r w:rsidR="009546AF" w:rsidRPr="00733486">
              <w:rPr>
                <w:rFonts w:ascii="Times New Roman" w:hAnsi="Times New Roman" w:cs="Times New Roman"/>
                <w:sz w:val="26"/>
                <w:szCs w:val="26"/>
              </w:rPr>
              <w:t>3</w:t>
            </w:r>
            <w:r w:rsidRPr="00733486">
              <w:rPr>
                <w:rFonts w:ascii="Times New Roman" w:hAnsi="Times New Roman" w:cs="Times New Roman"/>
                <w:sz w:val="26"/>
                <w:szCs w:val="26"/>
              </w:rPr>
              <w:t>0</w:t>
            </w:r>
          </w:p>
        </w:tc>
        <w:tc>
          <w:tcPr>
            <w:tcW w:w="796" w:type="pct"/>
          </w:tcPr>
          <w:p w14:paraId="3F969377" w14:textId="77777777" w:rsidR="000F77C4" w:rsidRPr="00733486" w:rsidRDefault="000F77C4" w:rsidP="00BD3E07">
            <w:pPr>
              <w:spacing w:after="0" w:line="33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220</w:t>
            </w:r>
          </w:p>
        </w:tc>
      </w:tr>
      <w:tr w:rsidR="00A52CD6" w:rsidRPr="00733486" w14:paraId="78839FCC" w14:textId="77777777" w:rsidTr="003C330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46575493"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13</w:t>
            </w:r>
          </w:p>
        </w:tc>
        <w:tc>
          <w:tcPr>
            <w:tcW w:w="1769" w:type="pct"/>
            <w:vAlign w:val="center"/>
          </w:tcPr>
          <w:p w14:paraId="1F546E89" w14:textId="77777777" w:rsidR="000F77C4" w:rsidRPr="00733486" w:rsidRDefault="000F77C4" w:rsidP="00BD3E07">
            <w:pPr>
              <w:spacing w:after="0" w:line="33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Làm cốp pha</w:t>
            </w:r>
          </w:p>
        </w:tc>
        <w:tc>
          <w:tcPr>
            <w:tcW w:w="533" w:type="pct"/>
          </w:tcPr>
          <w:p w14:paraId="05213D2A" w14:textId="77777777" w:rsidR="000F77C4" w:rsidRPr="00733486" w:rsidRDefault="000F77C4" w:rsidP="00BD3E07">
            <w:pPr>
              <w:spacing w:after="0" w:line="336" w:lineRule="auto"/>
              <w:ind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m2</w:t>
            </w:r>
          </w:p>
        </w:tc>
        <w:tc>
          <w:tcPr>
            <w:tcW w:w="762" w:type="pct"/>
          </w:tcPr>
          <w:p w14:paraId="67341AFE" w14:textId="462E2F22" w:rsidR="000F77C4" w:rsidRPr="00733486" w:rsidRDefault="009546AF" w:rsidP="00BD3E07">
            <w:pPr>
              <w:spacing w:after="0" w:line="33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90</w:t>
            </w:r>
          </w:p>
        </w:tc>
        <w:tc>
          <w:tcPr>
            <w:tcW w:w="762" w:type="pct"/>
          </w:tcPr>
          <w:p w14:paraId="54FC7EF4" w14:textId="77777777" w:rsidR="000F77C4" w:rsidRPr="00733486" w:rsidRDefault="000F77C4" w:rsidP="00BD3E07">
            <w:pPr>
              <w:spacing w:after="0" w:line="33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100</w:t>
            </w:r>
          </w:p>
        </w:tc>
        <w:tc>
          <w:tcPr>
            <w:tcW w:w="796" w:type="pct"/>
          </w:tcPr>
          <w:p w14:paraId="759F3A11" w14:textId="77777777" w:rsidR="000F77C4" w:rsidRPr="00733486" w:rsidRDefault="000F77C4" w:rsidP="00BD3E07">
            <w:pPr>
              <w:spacing w:after="0" w:line="33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85</w:t>
            </w:r>
          </w:p>
        </w:tc>
      </w:tr>
      <w:tr w:rsidR="000F77C4" w:rsidRPr="00733486" w14:paraId="6B796A5B" w14:textId="77777777" w:rsidTr="003C3301">
        <w:trPr>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6C965E9A"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14</w:t>
            </w:r>
          </w:p>
        </w:tc>
        <w:tc>
          <w:tcPr>
            <w:tcW w:w="1769" w:type="pct"/>
            <w:vAlign w:val="center"/>
          </w:tcPr>
          <w:p w14:paraId="5FB81FC5" w14:textId="77777777" w:rsidR="000F77C4" w:rsidRPr="00733486" w:rsidRDefault="000F77C4" w:rsidP="00BD3E07">
            <w:pPr>
              <w:spacing w:after="0" w:line="33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Làm cốt thép</w:t>
            </w:r>
          </w:p>
        </w:tc>
        <w:tc>
          <w:tcPr>
            <w:tcW w:w="533" w:type="pct"/>
          </w:tcPr>
          <w:p w14:paraId="35A7C313" w14:textId="77777777" w:rsidR="000F77C4" w:rsidRPr="00733486" w:rsidRDefault="000F77C4" w:rsidP="00BD3E07">
            <w:pPr>
              <w:spacing w:after="0" w:line="336" w:lineRule="auto"/>
              <w:ind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kg</w:t>
            </w:r>
          </w:p>
        </w:tc>
        <w:tc>
          <w:tcPr>
            <w:tcW w:w="762" w:type="pct"/>
          </w:tcPr>
          <w:p w14:paraId="7FF38910" w14:textId="77777777" w:rsidR="000F77C4" w:rsidRPr="00733486" w:rsidRDefault="000F77C4" w:rsidP="00BD3E07">
            <w:pPr>
              <w:spacing w:after="0" w:line="33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2,5</w:t>
            </w:r>
          </w:p>
        </w:tc>
        <w:tc>
          <w:tcPr>
            <w:tcW w:w="762" w:type="pct"/>
          </w:tcPr>
          <w:p w14:paraId="3CDE30DC" w14:textId="77777777" w:rsidR="000F77C4" w:rsidRPr="00733486" w:rsidRDefault="000F77C4" w:rsidP="00BD3E07">
            <w:pPr>
              <w:spacing w:after="0" w:line="33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4,0</w:t>
            </w:r>
          </w:p>
        </w:tc>
        <w:tc>
          <w:tcPr>
            <w:tcW w:w="796" w:type="pct"/>
          </w:tcPr>
          <w:p w14:paraId="3305401D" w14:textId="77777777" w:rsidR="000F77C4" w:rsidRPr="00733486" w:rsidRDefault="000F77C4" w:rsidP="00BD3E07">
            <w:pPr>
              <w:spacing w:after="0" w:line="33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2,5</w:t>
            </w:r>
          </w:p>
        </w:tc>
      </w:tr>
      <w:tr w:rsidR="00A52CD6" w:rsidRPr="00733486" w14:paraId="24A3CBD3" w14:textId="77777777" w:rsidTr="003C330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2BF20C63"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15</w:t>
            </w:r>
          </w:p>
        </w:tc>
        <w:tc>
          <w:tcPr>
            <w:tcW w:w="1769" w:type="pct"/>
            <w:vAlign w:val="center"/>
          </w:tcPr>
          <w:p w14:paraId="7FD1F805" w14:textId="77777777" w:rsidR="000F77C4" w:rsidRPr="00733486" w:rsidRDefault="000F77C4" w:rsidP="00BD3E07">
            <w:pPr>
              <w:spacing w:after="0" w:line="33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Đổ bê tông móng</w:t>
            </w:r>
          </w:p>
        </w:tc>
        <w:tc>
          <w:tcPr>
            <w:tcW w:w="533" w:type="pct"/>
          </w:tcPr>
          <w:p w14:paraId="3524D1A7" w14:textId="77777777" w:rsidR="000F77C4" w:rsidRPr="00733486" w:rsidRDefault="000F77C4" w:rsidP="00BD3E07">
            <w:pPr>
              <w:spacing w:after="0" w:line="336" w:lineRule="auto"/>
              <w:ind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m3</w:t>
            </w:r>
          </w:p>
        </w:tc>
        <w:tc>
          <w:tcPr>
            <w:tcW w:w="762" w:type="pct"/>
          </w:tcPr>
          <w:p w14:paraId="608BB4A1" w14:textId="77777777" w:rsidR="000F77C4" w:rsidRPr="00733486" w:rsidRDefault="000F77C4" w:rsidP="00BD3E07">
            <w:pPr>
              <w:spacing w:after="0" w:line="33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130</w:t>
            </w:r>
          </w:p>
        </w:tc>
        <w:tc>
          <w:tcPr>
            <w:tcW w:w="762" w:type="pct"/>
          </w:tcPr>
          <w:p w14:paraId="6A9D70D5" w14:textId="4CE25065" w:rsidR="000F77C4" w:rsidRPr="00733486" w:rsidRDefault="000F77C4" w:rsidP="00BD3E07">
            <w:pPr>
              <w:spacing w:after="0" w:line="33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w:t>
            </w:r>
            <w:r w:rsidR="009546AF" w:rsidRPr="00733486">
              <w:rPr>
                <w:rFonts w:ascii="Times New Roman" w:hAnsi="Times New Roman" w:cs="Times New Roman"/>
                <w:sz w:val="26"/>
                <w:szCs w:val="26"/>
              </w:rPr>
              <w:t>35</w:t>
            </w:r>
          </w:p>
        </w:tc>
        <w:tc>
          <w:tcPr>
            <w:tcW w:w="796" w:type="pct"/>
          </w:tcPr>
          <w:p w14:paraId="34FE8E3F" w14:textId="7CCA2FB0" w:rsidR="000F77C4" w:rsidRPr="00733486" w:rsidRDefault="009546AF" w:rsidP="00BD3E07">
            <w:pPr>
              <w:spacing w:after="0" w:line="33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10</w:t>
            </w:r>
            <w:r w:rsidR="000F77C4" w:rsidRPr="00733486">
              <w:rPr>
                <w:rFonts w:ascii="Times New Roman" w:hAnsi="Times New Roman" w:cs="Times New Roman"/>
                <w:sz w:val="26"/>
                <w:szCs w:val="26"/>
              </w:rPr>
              <w:t>0</w:t>
            </w:r>
          </w:p>
        </w:tc>
      </w:tr>
      <w:tr w:rsidR="000F77C4" w:rsidRPr="00733486" w14:paraId="46A58D1E" w14:textId="77777777" w:rsidTr="003C3301">
        <w:trPr>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3ACF1553"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lastRenderedPageBreak/>
              <w:t>16</w:t>
            </w:r>
          </w:p>
        </w:tc>
        <w:tc>
          <w:tcPr>
            <w:tcW w:w="1769" w:type="pct"/>
            <w:vAlign w:val="center"/>
          </w:tcPr>
          <w:p w14:paraId="3571E96B" w14:textId="77777777" w:rsidR="000F77C4" w:rsidRPr="00733486" w:rsidRDefault="000F77C4" w:rsidP="00BD3E07">
            <w:pPr>
              <w:spacing w:after="0" w:line="33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Đổ bê tông sàn, dầm</w:t>
            </w:r>
          </w:p>
        </w:tc>
        <w:tc>
          <w:tcPr>
            <w:tcW w:w="533" w:type="pct"/>
          </w:tcPr>
          <w:p w14:paraId="6E1486A9" w14:textId="77777777" w:rsidR="000F77C4" w:rsidRPr="00733486" w:rsidRDefault="000F77C4" w:rsidP="00BD3E07">
            <w:pPr>
              <w:spacing w:after="0" w:line="336" w:lineRule="auto"/>
              <w:ind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m3</w:t>
            </w:r>
          </w:p>
        </w:tc>
        <w:tc>
          <w:tcPr>
            <w:tcW w:w="762" w:type="pct"/>
          </w:tcPr>
          <w:p w14:paraId="247EE49A" w14:textId="550B0BBB" w:rsidR="000F77C4" w:rsidRPr="00733486" w:rsidRDefault="000F77C4" w:rsidP="00BD3E07">
            <w:pPr>
              <w:spacing w:after="0" w:line="33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w:t>
            </w:r>
            <w:r w:rsidR="009546AF" w:rsidRPr="00733486">
              <w:rPr>
                <w:rFonts w:ascii="Times New Roman" w:hAnsi="Times New Roman" w:cs="Times New Roman"/>
                <w:sz w:val="26"/>
                <w:szCs w:val="26"/>
              </w:rPr>
              <w:t>60</w:t>
            </w:r>
          </w:p>
        </w:tc>
        <w:tc>
          <w:tcPr>
            <w:tcW w:w="762" w:type="pct"/>
          </w:tcPr>
          <w:p w14:paraId="3314AE4E" w14:textId="52A90174" w:rsidR="000F77C4" w:rsidRPr="00733486" w:rsidRDefault="000F77C4" w:rsidP="00BD3E07">
            <w:pPr>
              <w:spacing w:after="0" w:line="33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w:t>
            </w:r>
            <w:r w:rsidR="009546AF" w:rsidRPr="00733486">
              <w:rPr>
                <w:rFonts w:ascii="Times New Roman" w:hAnsi="Times New Roman" w:cs="Times New Roman"/>
                <w:sz w:val="26"/>
                <w:szCs w:val="26"/>
              </w:rPr>
              <w:t>60</w:t>
            </w:r>
          </w:p>
        </w:tc>
        <w:tc>
          <w:tcPr>
            <w:tcW w:w="796" w:type="pct"/>
          </w:tcPr>
          <w:p w14:paraId="3B6FAF51" w14:textId="6063E411" w:rsidR="000F77C4" w:rsidRPr="00733486" w:rsidRDefault="000F77C4" w:rsidP="00BD3E07">
            <w:pPr>
              <w:spacing w:after="0" w:line="33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w:t>
            </w:r>
            <w:r w:rsidR="009546AF" w:rsidRPr="00733486">
              <w:rPr>
                <w:rFonts w:ascii="Times New Roman" w:hAnsi="Times New Roman" w:cs="Times New Roman"/>
                <w:sz w:val="26"/>
                <w:szCs w:val="26"/>
              </w:rPr>
              <w:t>4</w:t>
            </w:r>
            <w:r w:rsidRPr="00733486">
              <w:rPr>
                <w:rFonts w:ascii="Times New Roman" w:hAnsi="Times New Roman" w:cs="Times New Roman"/>
                <w:sz w:val="26"/>
                <w:szCs w:val="26"/>
              </w:rPr>
              <w:t>0</w:t>
            </w:r>
          </w:p>
        </w:tc>
      </w:tr>
      <w:tr w:rsidR="00A52CD6" w:rsidRPr="00733486" w14:paraId="7277A036" w14:textId="77777777" w:rsidTr="003C330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582397CE"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17</w:t>
            </w:r>
          </w:p>
        </w:tc>
        <w:tc>
          <w:tcPr>
            <w:tcW w:w="1769" w:type="pct"/>
            <w:vAlign w:val="center"/>
          </w:tcPr>
          <w:p w14:paraId="6883A6DB" w14:textId="77777777" w:rsidR="000F77C4" w:rsidRPr="00733486" w:rsidRDefault="000F77C4" w:rsidP="00BD3E07">
            <w:pPr>
              <w:spacing w:after="0" w:line="33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Đổ bê tông cột</w:t>
            </w:r>
          </w:p>
        </w:tc>
        <w:tc>
          <w:tcPr>
            <w:tcW w:w="533" w:type="pct"/>
          </w:tcPr>
          <w:p w14:paraId="1DA5046A" w14:textId="77777777" w:rsidR="000F77C4" w:rsidRPr="00733486" w:rsidRDefault="000F77C4" w:rsidP="00BD3E07">
            <w:pPr>
              <w:spacing w:after="0" w:line="336" w:lineRule="auto"/>
              <w:ind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m3</w:t>
            </w:r>
          </w:p>
        </w:tc>
        <w:tc>
          <w:tcPr>
            <w:tcW w:w="762" w:type="pct"/>
          </w:tcPr>
          <w:p w14:paraId="5EA71CB7" w14:textId="4312970C" w:rsidR="000F77C4" w:rsidRPr="00733486" w:rsidRDefault="000F77C4" w:rsidP="00BD3E07">
            <w:pPr>
              <w:spacing w:after="0" w:line="33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2</w:t>
            </w:r>
            <w:r w:rsidR="009546AF" w:rsidRPr="00733486">
              <w:rPr>
                <w:rFonts w:ascii="Times New Roman" w:hAnsi="Times New Roman" w:cs="Times New Roman"/>
                <w:sz w:val="26"/>
                <w:szCs w:val="26"/>
              </w:rPr>
              <w:t>4</w:t>
            </w:r>
            <w:r w:rsidRPr="00733486">
              <w:rPr>
                <w:rFonts w:ascii="Times New Roman" w:hAnsi="Times New Roman" w:cs="Times New Roman"/>
                <w:sz w:val="26"/>
                <w:szCs w:val="26"/>
              </w:rPr>
              <w:t>0</w:t>
            </w:r>
          </w:p>
        </w:tc>
        <w:tc>
          <w:tcPr>
            <w:tcW w:w="762" w:type="pct"/>
          </w:tcPr>
          <w:p w14:paraId="4C0579E3" w14:textId="69543383" w:rsidR="000F77C4" w:rsidRPr="00733486" w:rsidRDefault="009546AF" w:rsidP="00BD3E07">
            <w:pPr>
              <w:spacing w:after="0" w:line="33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24</w:t>
            </w:r>
            <w:r w:rsidR="000F77C4" w:rsidRPr="00733486">
              <w:rPr>
                <w:rFonts w:ascii="Times New Roman" w:hAnsi="Times New Roman" w:cs="Times New Roman"/>
                <w:sz w:val="26"/>
                <w:szCs w:val="26"/>
              </w:rPr>
              <w:t>0</w:t>
            </w:r>
          </w:p>
        </w:tc>
        <w:tc>
          <w:tcPr>
            <w:tcW w:w="796" w:type="pct"/>
          </w:tcPr>
          <w:p w14:paraId="0921D867" w14:textId="77777777" w:rsidR="000F77C4" w:rsidRPr="00733486" w:rsidRDefault="000F77C4" w:rsidP="00BD3E07">
            <w:pPr>
              <w:spacing w:after="0" w:line="33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200</w:t>
            </w:r>
          </w:p>
        </w:tc>
      </w:tr>
      <w:tr w:rsidR="000F77C4" w:rsidRPr="00733486" w14:paraId="666C9D01" w14:textId="77777777" w:rsidTr="003C3301">
        <w:trPr>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724A2BAE"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18</w:t>
            </w:r>
          </w:p>
        </w:tc>
        <w:tc>
          <w:tcPr>
            <w:tcW w:w="1769" w:type="pct"/>
            <w:vAlign w:val="center"/>
          </w:tcPr>
          <w:p w14:paraId="227A99FD" w14:textId="77777777" w:rsidR="000F77C4" w:rsidRPr="00733486" w:rsidRDefault="000F77C4" w:rsidP="00BD3E07">
            <w:pPr>
              <w:spacing w:after="0" w:line="33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Làm điện</w:t>
            </w:r>
          </w:p>
        </w:tc>
        <w:tc>
          <w:tcPr>
            <w:tcW w:w="533" w:type="pct"/>
          </w:tcPr>
          <w:p w14:paraId="5472486A" w14:textId="77777777" w:rsidR="000F77C4" w:rsidRPr="00733486" w:rsidRDefault="000F77C4" w:rsidP="00BD3E07">
            <w:pPr>
              <w:spacing w:after="0" w:line="336" w:lineRule="auto"/>
              <w:ind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m2</w:t>
            </w:r>
          </w:p>
        </w:tc>
        <w:tc>
          <w:tcPr>
            <w:tcW w:w="762" w:type="pct"/>
          </w:tcPr>
          <w:p w14:paraId="3F50EB9E" w14:textId="77777777" w:rsidR="000F77C4" w:rsidRPr="00733486" w:rsidRDefault="000F77C4" w:rsidP="00BD3E07">
            <w:pPr>
              <w:spacing w:after="0" w:line="33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140</w:t>
            </w:r>
          </w:p>
        </w:tc>
        <w:tc>
          <w:tcPr>
            <w:tcW w:w="762" w:type="pct"/>
          </w:tcPr>
          <w:p w14:paraId="1E6BCF76" w14:textId="34282E07" w:rsidR="000F77C4" w:rsidRPr="00733486" w:rsidRDefault="000F77C4" w:rsidP="00BD3E07">
            <w:pPr>
              <w:spacing w:after="0" w:line="33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w:t>
            </w:r>
            <w:r w:rsidR="009546AF" w:rsidRPr="00733486">
              <w:rPr>
                <w:rFonts w:ascii="Times New Roman" w:hAnsi="Times New Roman" w:cs="Times New Roman"/>
                <w:sz w:val="26"/>
                <w:szCs w:val="26"/>
              </w:rPr>
              <w:t>3</w:t>
            </w:r>
            <w:r w:rsidRPr="00733486">
              <w:rPr>
                <w:rFonts w:ascii="Times New Roman" w:hAnsi="Times New Roman" w:cs="Times New Roman"/>
                <w:sz w:val="26"/>
                <w:szCs w:val="26"/>
              </w:rPr>
              <w:t>0</w:t>
            </w:r>
          </w:p>
        </w:tc>
        <w:tc>
          <w:tcPr>
            <w:tcW w:w="796" w:type="pct"/>
          </w:tcPr>
          <w:p w14:paraId="2902AB26" w14:textId="77777777" w:rsidR="000F77C4" w:rsidRPr="00733486" w:rsidRDefault="000F77C4" w:rsidP="00BD3E07">
            <w:pPr>
              <w:spacing w:after="0" w:line="33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110</w:t>
            </w:r>
          </w:p>
        </w:tc>
      </w:tr>
      <w:tr w:rsidR="00A52CD6" w:rsidRPr="00733486" w14:paraId="327EFF4E" w14:textId="77777777" w:rsidTr="003C330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6FD02526" w14:textId="77777777" w:rsidR="000F77C4" w:rsidRPr="003C3301" w:rsidRDefault="000F77C4" w:rsidP="00BD3E07">
            <w:pPr>
              <w:spacing w:after="0" w:line="336" w:lineRule="auto"/>
              <w:ind w:right="0" w:firstLine="22"/>
              <w:jc w:val="center"/>
              <w:rPr>
                <w:rFonts w:ascii="Times New Roman" w:hAnsi="Times New Roman" w:cs="Times New Roman"/>
                <w:b w:val="0"/>
                <w:bCs w:val="0"/>
                <w:sz w:val="26"/>
                <w:szCs w:val="26"/>
              </w:rPr>
            </w:pPr>
            <w:r w:rsidRPr="003C3301">
              <w:rPr>
                <w:rFonts w:ascii="Times New Roman" w:hAnsi="Times New Roman" w:cs="Times New Roman"/>
                <w:b w:val="0"/>
                <w:bCs w:val="0"/>
                <w:sz w:val="26"/>
                <w:szCs w:val="26"/>
              </w:rPr>
              <w:t>19</w:t>
            </w:r>
          </w:p>
        </w:tc>
        <w:tc>
          <w:tcPr>
            <w:tcW w:w="1769" w:type="pct"/>
            <w:vAlign w:val="center"/>
          </w:tcPr>
          <w:p w14:paraId="1F2E1154" w14:textId="77777777" w:rsidR="000F77C4" w:rsidRPr="00733486" w:rsidRDefault="000F77C4" w:rsidP="00BD3E07">
            <w:pPr>
              <w:spacing w:after="0" w:line="33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Làm nước</w:t>
            </w:r>
          </w:p>
        </w:tc>
        <w:tc>
          <w:tcPr>
            <w:tcW w:w="533" w:type="pct"/>
          </w:tcPr>
          <w:p w14:paraId="455B73FF" w14:textId="77777777" w:rsidR="000F77C4" w:rsidRPr="00733486" w:rsidRDefault="000F77C4" w:rsidP="00BD3E07">
            <w:pPr>
              <w:spacing w:after="0" w:line="336" w:lineRule="auto"/>
              <w:ind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m2</w:t>
            </w:r>
          </w:p>
        </w:tc>
        <w:tc>
          <w:tcPr>
            <w:tcW w:w="762" w:type="pct"/>
          </w:tcPr>
          <w:p w14:paraId="607DC51E" w14:textId="6F165AF6" w:rsidR="000F77C4" w:rsidRPr="00733486" w:rsidRDefault="000F77C4" w:rsidP="00BD3E07">
            <w:pPr>
              <w:spacing w:after="0" w:line="33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w:t>
            </w:r>
            <w:r w:rsidR="009546AF" w:rsidRPr="00733486">
              <w:rPr>
                <w:rFonts w:ascii="Times New Roman" w:hAnsi="Times New Roman" w:cs="Times New Roman"/>
                <w:sz w:val="26"/>
                <w:szCs w:val="26"/>
              </w:rPr>
              <w:t>30</w:t>
            </w:r>
          </w:p>
        </w:tc>
        <w:tc>
          <w:tcPr>
            <w:tcW w:w="762" w:type="pct"/>
          </w:tcPr>
          <w:p w14:paraId="53FFF4AD" w14:textId="425D222A" w:rsidR="000F77C4" w:rsidRPr="00733486" w:rsidRDefault="000F77C4" w:rsidP="00BD3E07">
            <w:pPr>
              <w:spacing w:after="0" w:line="33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w:t>
            </w:r>
            <w:r w:rsidR="009546AF" w:rsidRPr="00733486">
              <w:rPr>
                <w:rFonts w:ascii="Times New Roman" w:hAnsi="Times New Roman" w:cs="Times New Roman"/>
                <w:sz w:val="26"/>
                <w:szCs w:val="26"/>
              </w:rPr>
              <w:t>3</w:t>
            </w:r>
            <w:r w:rsidRPr="00733486">
              <w:rPr>
                <w:rFonts w:ascii="Times New Roman" w:hAnsi="Times New Roman" w:cs="Times New Roman"/>
                <w:sz w:val="26"/>
                <w:szCs w:val="26"/>
              </w:rPr>
              <w:t>5</w:t>
            </w:r>
          </w:p>
        </w:tc>
        <w:tc>
          <w:tcPr>
            <w:tcW w:w="796" w:type="pct"/>
          </w:tcPr>
          <w:p w14:paraId="1D5A7674" w14:textId="3A1D216E" w:rsidR="000F77C4" w:rsidRPr="00733486" w:rsidRDefault="009546AF" w:rsidP="00BD3E07">
            <w:pPr>
              <w:spacing w:after="0" w:line="33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10</w:t>
            </w:r>
            <w:r w:rsidR="000F77C4" w:rsidRPr="00733486">
              <w:rPr>
                <w:rFonts w:ascii="Times New Roman" w:hAnsi="Times New Roman" w:cs="Times New Roman"/>
                <w:sz w:val="26"/>
                <w:szCs w:val="26"/>
              </w:rPr>
              <w:t>0</w:t>
            </w:r>
          </w:p>
        </w:tc>
      </w:tr>
    </w:tbl>
    <w:p w14:paraId="4D1531E5" w14:textId="77777777" w:rsidR="000F77C4" w:rsidRPr="00733486" w:rsidRDefault="000F77C4" w:rsidP="00BD3E07">
      <w:pPr>
        <w:spacing w:after="0" w:line="336" w:lineRule="auto"/>
        <w:rPr>
          <w:rFonts w:ascii="Times New Roman" w:hAnsi="Times New Roman" w:cs="Times New Roman"/>
          <w:b/>
          <w:sz w:val="26"/>
          <w:szCs w:val="26"/>
          <w:lang w:val="de-DE"/>
        </w:rPr>
      </w:pPr>
    </w:p>
    <w:p w14:paraId="412800DF" w14:textId="313DABB8" w:rsidR="000F77C4" w:rsidRPr="00733486" w:rsidRDefault="000F77C4" w:rsidP="00BD3E07">
      <w:pPr>
        <w:spacing w:after="0" w:line="336" w:lineRule="auto"/>
        <w:ind w:right="-34" w:firstLine="567"/>
        <w:rPr>
          <w:rFonts w:ascii="Times New Roman" w:hAnsi="Times New Roman" w:cs="Times New Roman"/>
          <w:bCs/>
          <w:sz w:val="26"/>
          <w:szCs w:val="26"/>
          <w:lang w:val="de-DE"/>
        </w:rPr>
      </w:pPr>
      <w:r w:rsidRPr="00733486">
        <w:rPr>
          <w:rFonts w:ascii="Times New Roman" w:hAnsi="Times New Roman" w:cs="Times New Roman"/>
          <w:bCs/>
          <w:sz w:val="26"/>
          <w:szCs w:val="26"/>
          <w:lang w:val="de-DE"/>
        </w:rPr>
        <w:t>Qua số liệu khảo sát mà nhóm khảo sát thực tế thu thập giá nhân công bình quân cho một đơn vị sản phẩm tại các khu vực kinh tế trọng điểm tăng so với cùng kỳ năm ngoái</w:t>
      </w:r>
      <w:r w:rsidR="009546AF" w:rsidRPr="00733486">
        <w:rPr>
          <w:rFonts w:ascii="Times New Roman" w:hAnsi="Times New Roman" w:cs="Times New Roman"/>
          <w:bCs/>
          <w:sz w:val="26"/>
          <w:szCs w:val="26"/>
          <w:lang w:val="de-DE"/>
        </w:rPr>
        <w:t xml:space="preserve"> khoảng 5,1%-8,2%</w:t>
      </w:r>
      <w:r w:rsidRPr="00733486">
        <w:rPr>
          <w:rFonts w:ascii="Times New Roman" w:hAnsi="Times New Roman" w:cs="Times New Roman"/>
          <w:bCs/>
          <w:sz w:val="26"/>
          <w:szCs w:val="26"/>
          <w:lang w:val="de-DE"/>
        </w:rPr>
        <w:t>.</w:t>
      </w:r>
      <w:bookmarkEnd w:id="2"/>
    </w:p>
    <w:p w14:paraId="36B64D52" w14:textId="7BBB0305" w:rsidR="000F77C4" w:rsidRPr="00733486" w:rsidRDefault="000F77C4" w:rsidP="00BD3E07">
      <w:pPr>
        <w:spacing w:after="0" w:line="336" w:lineRule="auto"/>
        <w:ind w:right="-1" w:firstLine="0"/>
        <w:rPr>
          <w:rFonts w:ascii="Times New Roman" w:hAnsi="Times New Roman" w:cs="Times New Roman"/>
          <w:b/>
          <w:bCs/>
          <w:i/>
          <w:iCs/>
          <w:sz w:val="26"/>
          <w:szCs w:val="26"/>
        </w:rPr>
      </w:pPr>
      <w:r w:rsidRPr="00733486">
        <w:rPr>
          <w:rFonts w:ascii="Times New Roman" w:hAnsi="Times New Roman" w:cs="Times New Roman"/>
          <w:b/>
          <w:bCs/>
          <w:i/>
          <w:iCs/>
          <w:sz w:val="26"/>
          <w:szCs w:val="26"/>
        </w:rPr>
        <w:t>III.2.2 Giá nhân công xây dựng theo trình độ tay nghề qua khảo sát trên thị trường lao động ở một số địa phương</w:t>
      </w:r>
      <w:r w:rsidRPr="00733486">
        <w:rPr>
          <w:rFonts w:ascii="Times New Roman" w:hAnsi="Times New Roman" w:cs="Times New Roman"/>
          <w:i/>
          <w:iCs/>
          <w:spacing w:val="-2"/>
          <w:sz w:val="26"/>
          <w:szCs w:val="26"/>
          <w:vertAlign w:val="superscript"/>
          <w:lang w:val="de-DE"/>
        </w:rPr>
        <w:t>[</w:t>
      </w:r>
      <w:r w:rsidRPr="00733486">
        <w:rPr>
          <w:rStyle w:val="FootnoteReference"/>
          <w:rFonts w:ascii="Times New Roman" w:hAnsi="Times New Roman" w:cs="Times New Roman"/>
          <w:i/>
          <w:iCs/>
          <w:sz w:val="26"/>
          <w:szCs w:val="26"/>
          <w:vertAlign w:val="superscript"/>
          <w:lang w:val="pt-BR"/>
        </w:rPr>
        <w:footnoteReference w:id="9"/>
      </w:r>
      <w:r w:rsidRPr="00733486">
        <w:rPr>
          <w:rFonts w:ascii="Times New Roman" w:hAnsi="Times New Roman" w:cs="Times New Roman"/>
          <w:i/>
          <w:iCs/>
          <w:sz w:val="26"/>
          <w:szCs w:val="26"/>
          <w:vertAlign w:val="superscript"/>
          <w:lang w:val="pt-BR"/>
        </w:rPr>
        <w:t>]</w:t>
      </w:r>
      <w:r w:rsidRPr="00733486">
        <w:rPr>
          <w:rFonts w:ascii="Times New Roman" w:hAnsi="Times New Roman" w:cs="Times New Roman"/>
          <w:i/>
          <w:iCs/>
          <w:spacing w:val="-2"/>
          <w:sz w:val="26"/>
          <w:szCs w:val="26"/>
          <w:lang w:val="de-DE"/>
        </w:rPr>
        <w:t>.</w:t>
      </w:r>
    </w:p>
    <w:p w14:paraId="0AC10242" w14:textId="77777777" w:rsidR="000F77C4" w:rsidRPr="00733486" w:rsidRDefault="000F77C4" w:rsidP="00BD3E07">
      <w:pPr>
        <w:spacing w:after="0" w:line="336" w:lineRule="auto"/>
        <w:ind w:left="5760" w:right="-34" w:firstLine="720"/>
        <w:jc w:val="right"/>
        <w:rPr>
          <w:rFonts w:ascii="Times New Roman" w:hAnsi="Times New Roman" w:cs="Times New Roman"/>
          <w:bCs/>
          <w:i/>
          <w:iCs/>
          <w:sz w:val="26"/>
          <w:szCs w:val="26"/>
          <w:lang w:val="de-DE"/>
        </w:rPr>
      </w:pPr>
      <w:r w:rsidRPr="00733486">
        <w:rPr>
          <w:rFonts w:ascii="Times New Roman" w:hAnsi="Times New Roman" w:cs="Times New Roman"/>
          <w:bCs/>
          <w:i/>
          <w:iCs/>
          <w:sz w:val="26"/>
          <w:szCs w:val="26"/>
          <w:lang w:val="de-DE"/>
        </w:rPr>
        <w:t>Đơn vị tính: 1.000 đồng</w:t>
      </w:r>
    </w:p>
    <w:tbl>
      <w:tblPr>
        <w:tblStyle w:val="ListTable6Colorful-Accent1"/>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30"/>
        <w:gridCol w:w="3873"/>
        <w:gridCol w:w="1561"/>
        <w:gridCol w:w="1561"/>
        <w:gridCol w:w="1563"/>
      </w:tblGrid>
      <w:tr w:rsidR="000F77C4" w:rsidRPr="00733486" w14:paraId="79F95340" w14:textId="77777777" w:rsidTr="00EA6A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vMerge w:val="restart"/>
            <w:tcBorders>
              <w:bottom w:val="none" w:sz="0" w:space="0" w:color="auto"/>
            </w:tcBorders>
            <w:vAlign w:val="center"/>
          </w:tcPr>
          <w:p w14:paraId="29804BAF" w14:textId="77777777" w:rsidR="000F77C4" w:rsidRPr="00733486" w:rsidRDefault="000F77C4" w:rsidP="00BD3E07">
            <w:pPr>
              <w:spacing w:after="0" w:line="336" w:lineRule="auto"/>
              <w:ind w:right="-34" w:firstLine="22"/>
              <w:jc w:val="center"/>
              <w:rPr>
                <w:rFonts w:ascii="Times New Roman" w:hAnsi="Times New Roman" w:cs="Times New Roman"/>
                <w:sz w:val="26"/>
                <w:szCs w:val="26"/>
              </w:rPr>
            </w:pPr>
            <w:r w:rsidRPr="00733486">
              <w:rPr>
                <w:rFonts w:ascii="Times New Roman" w:hAnsi="Times New Roman" w:cs="Times New Roman"/>
                <w:sz w:val="26"/>
                <w:szCs w:val="26"/>
              </w:rPr>
              <w:t>STT</w:t>
            </w:r>
          </w:p>
        </w:tc>
        <w:tc>
          <w:tcPr>
            <w:tcW w:w="2087" w:type="pct"/>
            <w:vMerge w:val="restart"/>
            <w:tcBorders>
              <w:bottom w:val="none" w:sz="0" w:space="0" w:color="auto"/>
            </w:tcBorders>
            <w:vAlign w:val="center"/>
          </w:tcPr>
          <w:p w14:paraId="39E44AC5" w14:textId="77777777" w:rsidR="000F77C4" w:rsidRPr="00733486" w:rsidRDefault="000F77C4" w:rsidP="00BD3E07">
            <w:pPr>
              <w:spacing w:after="0" w:line="336" w:lineRule="auto"/>
              <w:ind w:right="-34" w:firstLine="2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Trình độ tay nghề</w:t>
            </w:r>
          </w:p>
        </w:tc>
        <w:tc>
          <w:tcPr>
            <w:tcW w:w="2527" w:type="pct"/>
            <w:gridSpan w:val="3"/>
            <w:tcBorders>
              <w:bottom w:val="none" w:sz="0" w:space="0" w:color="auto"/>
            </w:tcBorders>
            <w:vAlign w:val="center"/>
          </w:tcPr>
          <w:p w14:paraId="06154B60" w14:textId="77777777" w:rsidR="000F77C4" w:rsidRPr="00733486" w:rsidRDefault="000F77C4" w:rsidP="00BD3E07">
            <w:pPr>
              <w:spacing w:after="0" w:line="336" w:lineRule="auto"/>
              <w:ind w:right="-34" w:firstLine="2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Công trình dân dụng</w:t>
            </w:r>
          </w:p>
        </w:tc>
      </w:tr>
      <w:tr w:rsidR="000F77C4" w:rsidRPr="00733486" w14:paraId="549078B9" w14:textId="77777777" w:rsidTr="00EA6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vMerge/>
            <w:vAlign w:val="center"/>
          </w:tcPr>
          <w:p w14:paraId="6CFBB2FC" w14:textId="77777777" w:rsidR="000F77C4" w:rsidRPr="00733486" w:rsidRDefault="000F77C4" w:rsidP="00BD3E07">
            <w:pPr>
              <w:spacing w:after="0" w:line="336" w:lineRule="auto"/>
              <w:ind w:right="-34" w:firstLine="22"/>
              <w:jc w:val="center"/>
              <w:rPr>
                <w:rFonts w:ascii="Times New Roman" w:hAnsi="Times New Roman" w:cs="Times New Roman"/>
                <w:sz w:val="26"/>
                <w:szCs w:val="26"/>
              </w:rPr>
            </w:pPr>
          </w:p>
        </w:tc>
        <w:tc>
          <w:tcPr>
            <w:tcW w:w="2087" w:type="pct"/>
            <w:vMerge/>
            <w:vAlign w:val="center"/>
          </w:tcPr>
          <w:p w14:paraId="0F0E6DC1" w14:textId="77777777" w:rsidR="000F77C4" w:rsidRPr="00733486" w:rsidRDefault="000F77C4" w:rsidP="00BD3E07">
            <w:pPr>
              <w:spacing w:after="0" w:line="33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c>
          <w:tcPr>
            <w:tcW w:w="842" w:type="pct"/>
            <w:vAlign w:val="center"/>
          </w:tcPr>
          <w:p w14:paraId="3795307F" w14:textId="77777777" w:rsidR="000F77C4" w:rsidRPr="00AF5AE8" w:rsidRDefault="000F77C4" w:rsidP="00BD3E07">
            <w:pPr>
              <w:spacing w:after="0" w:line="33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Khu vực miền Bắc</w:t>
            </w:r>
          </w:p>
        </w:tc>
        <w:tc>
          <w:tcPr>
            <w:tcW w:w="842" w:type="pct"/>
            <w:vAlign w:val="center"/>
          </w:tcPr>
          <w:p w14:paraId="7172587E" w14:textId="77777777" w:rsidR="000F77C4" w:rsidRPr="00AF5AE8" w:rsidRDefault="000F77C4" w:rsidP="00BD3E07">
            <w:pPr>
              <w:spacing w:after="0" w:line="33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Khu vực miền Nam</w:t>
            </w:r>
          </w:p>
        </w:tc>
        <w:tc>
          <w:tcPr>
            <w:tcW w:w="842" w:type="pct"/>
            <w:vAlign w:val="center"/>
          </w:tcPr>
          <w:p w14:paraId="4AB9CA3E" w14:textId="77777777" w:rsidR="000F77C4" w:rsidRPr="00AF5AE8" w:rsidRDefault="000F77C4" w:rsidP="00BD3E07">
            <w:pPr>
              <w:spacing w:after="0" w:line="33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Khu vực miền Trung</w:t>
            </w:r>
          </w:p>
        </w:tc>
      </w:tr>
      <w:tr w:rsidR="000F77C4" w:rsidRPr="00733486" w14:paraId="44AC1B37" w14:textId="77777777" w:rsidTr="00EA6A01">
        <w:tc>
          <w:tcPr>
            <w:cnfStyle w:val="001000000000" w:firstRow="0" w:lastRow="0" w:firstColumn="1" w:lastColumn="0" w:oddVBand="0" w:evenVBand="0" w:oddHBand="0" w:evenHBand="0" w:firstRowFirstColumn="0" w:firstRowLastColumn="0" w:lastRowFirstColumn="0" w:lastRowLastColumn="0"/>
            <w:tcW w:w="386" w:type="pct"/>
            <w:vMerge/>
            <w:vAlign w:val="center"/>
          </w:tcPr>
          <w:p w14:paraId="457446FF" w14:textId="77777777" w:rsidR="000F77C4" w:rsidRPr="00733486" w:rsidRDefault="000F77C4" w:rsidP="00BD3E07">
            <w:pPr>
              <w:spacing w:after="0" w:line="336" w:lineRule="auto"/>
              <w:ind w:right="-34" w:firstLine="22"/>
              <w:jc w:val="center"/>
              <w:rPr>
                <w:rFonts w:ascii="Times New Roman" w:hAnsi="Times New Roman" w:cs="Times New Roman"/>
                <w:sz w:val="26"/>
                <w:szCs w:val="26"/>
              </w:rPr>
            </w:pPr>
          </w:p>
        </w:tc>
        <w:tc>
          <w:tcPr>
            <w:tcW w:w="2087" w:type="pct"/>
            <w:vMerge/>
            <w:vAlign w:val="center"/>
          </w:tcPr>
          <w:p w14:paraId="18D46CCC" w14:textId="77777777" w:rsidR="000F77C4" w:rsidRPr="00733486" w:rsidRDefault="000F77C4" w:rsidP="00BD3E07">
            <w:pPr>
              <w:spacing w:after="0" w:line="33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c>
          <w:tcPr>
            <w:tcW w:w="842" w:type="pct"/>
            <w:vAlign w:val="center"/>
          </w:tcPr>
          <w:p w14:paraId="285E7E84" w14:textId="77777777" w:rsidR="000F77C4" w:rsidRPr="00AF5AE8" w:rsidRDefault="000F77C4" w:rsidP="00BD3E07">
            <w:pPr>
              <w:spacing w:after="0" w:line="33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Hà Nội</w:t>
            </w:r>
          </w:p>
        </w:tc>
        <w:tc>
          <w:tcPr>
            <w:tcW w:w="842" w:type="pct"/>
            <w:vAlign w:val="center"/>
          </w:tcPr>
          <w:p w14:paraId="4C284E77" w14:textId="77777777" w:rsidR="000F77C4" w:rsidRPr="00AF5AE8" w:rsidRDefault="000F77C4" w:rsidP="00BD3E07">
            <w:pPr>
              <w:spacing w:after="0" w:line="33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TP. HCM</w:t>
            </w:r>
          </w:p>
        </w:tc>
        <w:tc>
          <w:tcPr>
            <w:tcW w:w="842" w:type="pct"/>
            <w:vAlign w:val="center"/>
          </w:tcPr>
          <w:p w14:paraId="41571421" w14:textId="77777777" w:rsidR="000F77C4" w:rsidRPr="00AF5AE8" w:rsidRDefault="000F77C4" w:rsidP="00BD3E07">
            <w:pPr>
              <w:spacing w:after="0" w:line="33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Đà Nẵng</w:t>
            </w:r>
          </w:p>
        </w:tc>
      </w:tr>
      <w:tr w:rsidR="000F77C4" w:rsidRPr="00733486" w14:paraId="6AF2EB6D" w14:textId="77777777" w:rsidTr="00482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tcPr>
          <w:p w14:paraId="199CF608" w14:textId="77777777" w:rsidR="000F77C4" w:rsidRPr="00733486" w:rsidRDefault="000F77C4" w:rsidP="00BD3E07">
            <w:pPr>
              <w:spacing w:after="0" w:line="336" w:lineRule="auto"/>
              <w:ind w:right="-34" w:firstLine="22"/>
              <w:jc w:val="center"/>
              <w:rPr>
                <w:rFonts w:ascii="Times New Roman" w:hAnsi="Times New Roman" w:cs="Times New Roman"/>
                <w:sz w:val="26"/>
                <w:szCs w:val="26"/>
              </w:rPr>
            </w:pPr>
            <w:r w:rsidRPr="00733486">
              <w:rPr>
                <w:rFonts w:ascii="Times New Roman" w:hAnsi="Times New Roman" w:cs="Times New Roman"/>
                <w:sz w:val="26"/>
                <w:szCs w:val="26"/>
              </w:rPr>
              <w:t>1</w:t>
            </w:r>
          </w:p>
        </w:tc>
        <w:tc>
          <w:tcPr>
            <w:tcW w:w="2087" w:type="pct"/>
          </w:tcPr>
          <w:p w14:paraId="35975DB5" w14:textId="77777777" w:rsidR="000F77C4" w:rsidRPr="00733486" w:rsidRDefault="000F77C4" w:rsidP="00BD3E07">
            <w:pPr>
              <w:spacing w:after="0" w:line="336" w:lineRule="auto"/>
              <w:ind w:right="-34"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Nhân công có tay nghề thấp</w:t>
            </w:r>
          </w:p>
        </w:tc>
        <w:tc>
          <w:tcPr>
            <w:tcW w:w="842" w:type="pct"/>
          </w:tcPr>
          <w:p w14:paraId="0AF2C991" w14:textId="6B164DD6" w:rsidR="000F77C4" w:rsidRPr="00733486" w:rsidRDefault="000F77C4" w:rsidP="00BD3E07">
            <w:pPr>
              <w:spacing w:after="0" w:line="33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2</w:t>
            </w:r>
            <w:r w:rsidR="007E697D" w:rsidRPr="00733486">
              <w:rPr>
                <w:rFonts w:ascii="Times New Roman" w:hAnsi="Times New Roman" w:cs="Times New Roman"/>
                <w:sz w:val="26"/>
                <w:szCs w:val="26"/>
              </w:rPr>
              <w:t>8</w:t>
            </w:r>
            <w:r w:rsidRPr="00733486">
              <w:rPr>
                <w:rFonts w:ascii="Times New Roman" w:hAnsi="Times New Roman" w:cs="Times New Roman"/>
                <w:sz w:val="26"/>
                <w:szCs w:val="26"/>
              </w:rPr>
              <w:t>0-2</w:t>
            </w:r>
            <w:r w:rsidR="007E697D" w:rsidRPr="00733486">
              <w:rPr>
                <w:rFonts w:ascii="Times New Roman" w:hAnsi="Times New Roman" w:cs="Times New Roman"/>
                <w:sz w:val="26"/>
                <w:szCs w:val="26"/>
              </w:rPr>
              <w:t>95</w:t>
            </w:r>
          </w:p>
        </w:tc>
        <w:tc>
          <w:tcPr>
            <w:tcW w:w="842" w:type="pct"/>
          </w:tcPr>
          <w:p w14:paraId="1F2B66DE" w14:textId="76037E9E" w:rsidR="000F77C4" w:rsidRPr="00733486" w:rsidRDefault="000F77C4" w:rsidP="00BD3E07">
            <w:pPr>
              <w:spacing w:after="0" w:line="33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2</w:t>
            </w:r>
            <w:r w:rsidR="007E697D" w:rsidRPr="00733486">
              <w:rPr>
                <w:rFonts w:ascii="Times New Roman" w:hAnsi="Times New Roman" w:cs="Times New Roman"/>
                <w:sz w:val="26"/>
                <w:szCs w:val="26"/>
              </w:rPr>
              <w:t>9</w:t>
            </w:r>
            <w:r w:rsidRPr="00733486">
              <w:rPr>
                <w:rFonts w:ascii="Times New Roman" w:hAnsi="Times New Roman" w:cs="Times New Roman"/>
                <w:sz w:val="26"/>
                <w:szCs w:val="26"/>
              </w:rPr>
              <w:t>0-3</w:t>
            </w:r>
            <w:r w:rsidR="007E697D" w:rsidRPr="00733486">
              <w:rPr>
                <w:rFonts w:ascii="Times New Roman" w:hAnsi="Times New Roman" w:cs="Times New Roman"/>
                <w:sz w:val="26"/>
                <w:szCs w:val="26"/>
              </w:rPr>
              <w:t>2</w:t>
            </w:r>
            <w:r w:rsidRPr="00733486">
              <w:rPr>
                <w:rFonts w:ascii="Times New Roman" w:hAnsi="Times New Roman" w:cs="Times New Roman"/>
                <w:sz w:val="26"/>
                <w:szCs w:val="26"/>
              </w:rPr>
              <w:t>0</w:t>
            </w:r>
          </w:p>
        </w:tc>
        <w:tc>
          <w:tcPr>
            <w:tcW w:w="842" w:type="pct"/>
          </w:tcPr>
          <w:p w14:paraId="5F16060C" w14:textId="3BAB1F33" w:rsidR="000F77C4" w:rsidRPr="00733486" w:rsidRDefault="000F77C4" w:rsidP="00BD3E07">
            <w:pPr>
              <w:spacing w:after="0" w:line="33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2</w:t>
            </w:r>
            <w:r w:rsidR="007E697D" w:rsidRPr="00733486">
              <w:rPr>
                <w:rFonts w:ascii="Times New Roman" w:hAnsi="Times New Roman" w:cs="Times New Roman"/>
                <w:sz w:val="26"/>
                <w:szCs w:val="26"/>
              </w:rPr>
              <w:t>5</w:t>
            </w:r>
            <w:r w:rsidRPr="00733486">
              <w:rPr>
                <w:rFonts w:ascii="Times New Roman" w:hAnsi="Times New Roman" w:cs="Times New Roman"/>
                <w:sz w:val="26"/>
                <w:szCs w:val="26"/>
              </w:rPr>
              <w:t>0-2</w:t>
            </w:r>
            <w:r w:rsidR="007E697D" w:rsidRPr="00733486">
              <w:rPr>
                <w:rFonts w:ascii="Times New Roman" w:hAnsi="Times New Roman" w:cs="Times New Roman"/>
                <w:sz w:val="26"/>
                <w:szCs w:val="26"/>
              </w:rPr>
              <w:t>7</w:t>
            </w:r>
            <w:r w:rsidRPr="00733486">
              <w:rPr>
                <w:rFonts w:ascii="Times New Roman" w:hAnsi="Times New Roman" w:cs="Times New Roman"/>
                <w:sz w:val="26"/>
                <w:szCs w:val="26"/>
              </w:rPr>
              <w:t>0</w:t>
            </w:r>
          </w:p>
        </w:tc>
      </w:tr>
      <w:tr w:rsidR="000F77C4" w:rsidRPr="00733486" w14:paraId="342294C3" w14:textId="77777777" w:rsidTr="004829CC">
        <w:tc>
          <w:tcPr>
            <w:cnfStyle w:val="001000000000" w:firstRow="0" w:lastRow="0" w:firstColumn="1" w:lastColumn="0" w:oddVBand="0" w:evenVBand="0" w:oddHBand="0" w:evenHBand="0" w:firstRowFirstColumn="0" w:firstRowLastColumn="0" w:lastRowFirstColumn="0" w:lastRowLastColumn="0"/>
            <w:tcW w:w="386" w:type="pct"/>
          </w:tcPr>
          <w:p w14:paraId="043E921D" w14:textId="77777777" w:rsidR="000F77C4" w:rsidRPr="00733486" w:rsidRDefault="000F77C4" w:rsidP="00BD3E07">
            <w:pPr>
              <w:spacing w:after="0" w:line="336" w:lineRule="auto"/>
              <w:ind w:right="-34" w:firstLine="22"/>
              <w:jc w:val="center"/>
              <w:rPr>
                <w:rFonts w:ascii="Times New Roman" w:hAnsi="Times New Roman" w:cs="Times New Roman"/>
                <w:sz w:val="26"/>
                <w:szCs w:val="26"/>
              </w:rPr>
            </w:pPr>
            <w:r w:rsidRPr="00733486">
              <w:rPr>
                <w:rFonts w:ascii="Times New Roman" w:hAnsi="Times New Roman" w:cs="Times New Roman"/>
                <w:sz w:val="26"/>
                <w:szCs w:val="26"/>
              </w:rPr>
              <w:t>2</w:t>
            </w:r>
          </w:p>
        </w:tc>
        <w:tc>
          <w:tcPr>
            <w:tcW w:w="2087" w:type="pct"/>
          </w:tcPr>
          <w:p w14:paraId="6F780A05" w14:textId="77777777" w:rsidR="000F77C4" w:rsidRPr="00733486" w:rsidRDefault="000F77C4" w:rsidP="00BD3E07">
            <w:pPr>
              <w:spacing w:after="0" w:line="336" w:lineRule="auto"/>
              <w:ind w:right="-34"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Nhân công có tay nghề trung bình</w:t>
            </w:r>
          </w:p>
        </w:tc>
        <w:tc>
          <w:tcPr>
            <w:tcW w:w="842" w:type="pct"/>
          </w:tcPr>
          <w:p w14:paraId="6B255774" w14:textId="139FF438" w:rsidR="000F77C4" w:rsidRPr="00733486" w:rsidRDefault="000F77C4" w:rsidP="00BD3E07">
            <w:pPr>
              <w:spacing w:after="0" w:line="33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3</w:t>
            </w:r>
            <w:r w:rsidR="007E697D" w:rsidRPr="00733486">
              <w:rPr>
                <w:rFonts w:ascii="Times New Roman" w:hAnsi="Times New Roman" w:cs="Times New Roman"/>
                <w:sz w:val="26"/>
                <w:szCs w:val="26"/>
              </w:rPr>
              <w:t>4</w:t>
            </w:r>
            <w:r w:rsidRPr="00733486">
              <w:rPr>
                <w:rFonts w:ascii="Times New Roman" w:hAnsi="Times New Roman" w:cs="Times New Roman"/>
                <w:sz w:val="26"/>
                <w:szCs w:val="26"/>
              </w:rPr>
              <w:t>0-3</w:t>
            </w:r>
            <w:r w:rsidR="007E697D" w:rsidRPr="00733486">
              <w:rPr>
                <w:rFonts w:ascii="Times New Roman" w:hAnsi="Times New Roman" w:cs="Times New Roman"/>
                <w:sz w:val="26"/>
                <w:szCs w:val="26"/>
              </w:rPr>
              <w:t>8</w:t>
            </w:r>
            <w:r w:rsidRPr="00733486">
              <w:rPr>
                <w:rFonts w:ascii="Times New Roman" w:hAnsi="Times New Roman" w:cs="Times New Roman"/>
                <w:sz w:val="26"/>
                <w:szCs w:val="26"/>
              </w:rPr>
              <w:t>0</w:t>
            </w:r>
          </w:p>
        </w:tc>
        <w:tc>
          <w:tcPr>
            <w:tcW w:w="842" w:type="pct"/>
          </w:tcPr>
          <w:p w14:paraId="1298DDE0" w14:textId="26B7FA67" w:rsidR="000F77C4" w:rsidRPr="00733486" w:rsidRDefault="000F77C4" w:rsidP="00BD3E07">
            <w:pPr>
              <w:spacing w:after="0" w:line="33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3</w:t>
            </w:r>
            <w:r w:rsidR="007E697D" w:rsidRPr="00733486">
              <w:rPr>
                <w:rFonts w:ascii="Times New Roman" w:hAnsi="Times New Roman" w:cs="Times New Roman"/>
                <w:sz w:val="26"/>
                <w:szCs w:val="26"/>
              </w:rPr>
              <w:t>7</w:t>
            </w:r>
            <w:r w:rsidRPr="00733486">
              <w:rPr>
                <w:rFonts w:ascii="Times New Roman" w:hAnsi="Times New Roman" w:cs="Times New Roman"/>
                <w:sz w:val="26"/>
                <w:szCs w:val="26"/>
              </w:rPr>
              <w:t>0-390</w:t>
            </w:r>
          </w:p>
        </w:tc>
        <w:tc>
          <w:tcPr>
            <w:tcW w:w="842" w:type="pct"/>
          </w:tcPr>
          <w:p w14:paraId="0D84A109" w14:textId="41FE3B31" w:rsidR="000F77C4" w:rsidRPr="00733486" w:rsidRDefault="000F77C4" w:rsidP="00BD3E07">
            <w:pPr>
              <w:spacing w:after="0" w:line="33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2</w:t>
            </w:r>
            <w:r w:rsidR="007E697D" w:rsidRPr="00733486">
              <w:rPr>
                <w:rFonts w:ascii="Times New Roman" w:hAnsi="Times New Roman" w:cs="Times New Roman"/>
                <w:sz w:val="26"/>
                <w:szCs w:val="26"/>
              </w:rPr>
              <w:t>90</w:t>
            </w:r>
            <w:r w:rsidRPr="00733486">
              <w:rPr>
                <w:rFonts w:ascii="Times New Roman" w:hAnsi="Times New Roman" w:cs="Times New Roman"/>
                <w:sz w:val="26"/>
                <w:szCs w:val="26"/>
              </w:rPr>
              <w:t>-33</w:t>
            </w:r>
            <w:r w:rsidR="007E697D" w:rsidRPr="00733486">
              <w:rPr>
                <w:rFonts w:ascii="Times New Roman" w:hAnsi="Times New Roman" w:cs="Times New Roman"/>
                <w:sz w:val="26"/>
                <w:szCs w:val="26"/>
              </w:rPr>
              <w:t>5</w:t>
            </w:r>
          </w:p>
        </w:tc>
      </w:tr>
      <w:tr w:rsidR="000F77C4" w:rsidRPr="00733486" w14:paraId="4443029A" w14:textId="77777777" w:rsidTr="00482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tcPr>
          <w:p w14:paraId="2DB1C30D" w14:textId="77777777" w:rsidR="000F77C4" w:rsidRPr="00733486" w:rsidRDefault="000F77C4" w:rsidP="00BD3E07">
            <w:pPr>
              <w:spacing w:after="0" w:line="336" w:lineRule="auto"/>
              <w:ind w:right="-34" w:firstLine="22"/>
              <w:jc w:val="center"/>
              <w:rPr>
                <w:rFonts w:ascii="Times New Roman" w:hAnsi="Times New Roman" w:cs="Times New Roman"/>
                <w:sz w:val="26"/>
                <w:szCs w:val="26"/>
              </w:rPr>
            </w:pPr>
            <w:r w:rsidRPr="00733486">
              <w:rPr>
                <w:rFonts w:ascii="Times New Roman" w:hAnsi="Times New Roman" w:cs="Times New Roman"/>
                <w:sz w:val="26"/>
                <w:szCs w:val="26"/>
              </w:rPr>
              <w:t>3</w:t>
            </w:r>
          </w:p>
        </w:tc>
        <w:tc>
          <w:tcPr>
            <w:tcW w:w="2087" w:type="pct"/>
          </w:tcPr>
          <w:p w14:paraId="179484C5" w14:textId="77777777" w:rsidR="000F77C4" w:rsidRPr="00733486" w:rsidRDefault="000F77C4" w:rsidP="00BD3E07">
            <w:pPr>
              <w:spacing w:after="0" w:line="336" w:lineRule="auto"/>
              <w:ind w:right="-34"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Nhân công có tay nghề cao</w:t>
            </w:r>
          </w:p>
        </w:tc>
        <w:tc>
          <w:tcPr>
            <w:tcW w:w="842" w:type="pct"/>
          </w:tcPr>
          <w:p w14:paraId="37B63223" w14:textId="61AF38A7" w:rsidR="000F77C4" w:rsidRPr="00733486" w:rsidRDefault="000F77C4" w:rsidP="00BD3E07">
            <w:pPr>
              <w:spacing w:after="0" w:line="33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4</w:t>
            </w:r>
            <w:r w:rsidR="007E697D" w:rsidRPr="00733486">
              <w:rPr>
                <w:rFonts w:ascii="Times New Roman" w:hAnsi="Times New Roman" w:cs="Times New Roman"/>
                <w:sz w:val="26"/>
                <w:szCs w:val="26"/>
              </w:rPr>
              <w:t>3</w:t>
            </w:r>
            <w:r w:rsidRPr="00733486">
              <w:rPr>
                <w:rFonts w:ascii="Times New Roman" w:hAnsi="Times New Roman" w:cs="Times New Roman"/>
                <w:sz w:val="26"/>
                <w:szCs w:val="26"/>
              </w:rPr>
              <w:t>0-4</w:t>
            </w:r>
            <w:r w:rsidR="007E697D" w:rsidRPr="00733486">
              <w:rPr>
                <w:rFonts w:ascii="Times New Roman" w:hAnsi="Times New Roman" w:cs="Times New Roman"/>
                <w:sz w:val="26"/>
                <w:szCs w:val="26"/>
              </w:rPr>
              <w:t>6</w:t>
            </w:r>
            <w:r w:rsidRPr="00733486">
              <w:rPr>
                <w:rFonts w:ascii="Times New Roman" w:hAnsi="Times New Roman" w:cs="Times New Roman"/>
                <w:sz w:val="26"/>
                <w:szCs w:val="26"/>
              </w:rPr>
              <w:t>0</w:t>
            </w:r>
          </w:p>
        </w:tc>
        <w:tc>
          <w:tcPr>
            <w:tcW w:w="842" w:type="pct"/>
          </w:tcPr>
          <w:p w14:paraId="63AE47DF" w14:textId="68C68610" w:rsidR="000F77C4" w:rsidRPr="00733486" w:rsidRDefault="000F77C4" w:rsidP="00BD3E07">
            <w:pPr>
              <w:spacing w:after="0" w:line="33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4</w:t>
            </w:r>
            <w:r w:rsidR="007E697D" w:rsidRPr="00733486">
              <w:rPr>
                <w:rFonts w:ascii="Times New Roman" w:hAnsi="Times New Roman" w:cs="Times New Roman"/>
                <w:sz w:val="26"/>
                <w:szCs w:val="26"/>
              </w:rPr>
              <w:t>5</w:t>
            </w:r>
            <w:r w:rsidRPr="00733486">
              <w:rPr>
                <w:rFonts w:ascii="Times New Roman" w:hAnsi="Times New Roman" w:cs="Times New Roman"/>
                <w:sz w:val="26"/>
                <w:szCs w:val="26"/>
              </w:rPr>
              <w:t>0-4</w:t>
            </w:r>
            <w:r w:rsidR="007E697D" w:rsidRPr="00733486">
              <w:rPr>
                <w:rFonts w:ascii="Times New Roman" w:hAnsi="Times New Roman" w:cs="Times New Roman"/>
                <w:sz w:val="26"/>
                <w:szCs w:val="26"/>
              </w:rPr>
              <w:t>8</w:t>
            </w:r>
            <w:r w:rsidRPr="00733486">
              <w:rPr>
                <w:rFonts w:ascii="Times New Roman" w:hAnsi="Times New Roman" w:cs="Times New Roman"/>
                <w:sz w:val="26"/>
                <w:szCs w:val="26"/>
              </w:rPr>
              <w:t>0</w:t>
            </w:r>
          </w:p>
        </w:tc>
        <w:tc>
          <w:tcPr>
            <w:tcW w:w="842" w:type="pct"/>
          </w:tcPr>
          <w:p w14:paraId="30082A14" w14:textId="006DD316" w:rsidR="000F77C4" w:rsidRPr="00733486" w:rsidRDefault="000F77C4" w:rsidP="00BD3E07">
            <w:pPr>
              <w:spacing w:after="0" w:line="33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3</w:t>
            </w:r>
            <w:r w:rsidR="007E697D" w:rsidRPr="00733486">
              <w:rPr>
                <w:rFonts w:ascii="Times New Roman" w:hAnsi="Times New Roman" w:cs="Times New Roman"/>
                <w:sz w:val="26"/>
                <w:szCs w:val="26"/>
              </w:rPr>
              <w:t>9</w:t>
            </w:r>
            <w:r w:rsidRPr="00733486">
              <w:rPr>
                <w:rFonts w:ascii="Times New Roman" w:hAnsi="Times New Roman" w:cs="Times New Roman"/>
                <w:sz w:val="26"/>
                <w:szCs w:val="26"/>
              </w:rPr>
              <w:t>0-4</w:t>
            </w:r>
            <w:r w:rsidR="007E697D" w:rsidRPr="00733486">
              <w:rPr>
                <w:rFonts w:ascii="Times New Roman" w:hAnsi="Times New Roman" w:cs="Times New Roman"/>
                <w:sz w:val="26"/>
                <w:szCs w:val="26"/>
              </w:rPr>
              <w:t>2</w:t>
            </w:r>
            <w:r w:rsidRPr="00733486">
              <w:rPr>
                <w:rFonts w:ascii="Times New Roman" w:hAnsi="Times New Roman" w:cs="Times New Roman"/>
                <w:sz w:val="26"/>
                <w:szCs w:val="26"/>
              </w:rPr>
              <w:t>0</w:t>
            </w:r>
          </w:p>
        </w:tc>
      </w:tr>
    </w:tbl>
    <w:p w14:paraId="59C7B6C5" w14:textId="77777777" w:rsidR="000F77C4" w:rsidRPr="00733486" w:rsidRDefault="000F77C4" w:rsidP="00BD3E07">
      <w:pPr>
        <w:spacing w:after="0" w:line="336" w:lineRule="auto"/>
        <w:ind w:firstLine="567"/>
        <w:rPr>
          <w:rFonts w:ascii="Times New Roman" w:hAnsi="Times New Roman" w:cs="Times New Roman"/>
          <w:b/>
          <w:bCs/>
          <w:sz w:val="26"/>
          <w:szCs w:val="26"/>
        </w:rPr>
      </w:pPr>
    </w:p>
    <w:p w14:paraId="5DBB81D3" w14:textId="4B88E62E" w:rsidR="000F77C4" w:rsidRPr="00733486" w:rsidRDefault="000F77C4"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Theo số liệu khảo sát mà nhóm khảo sát điều tra thu thập được, đơn giá ngày công trả cho người lao động tăng so với cùng kỳ năm 202</w:t>
      </w:r>
      <w:r w:rsidR="007E697D" w:rsidRPr="00733486">
        <w:rPr>
          <w:rFonts w:ascii="Times New Roman" w:hAnsi="Times New Roman" w:cs="Times New Roman"/>
          <w:sz w:val="26"/>
          <w:szCs w:val="26"/>
        </w:rPr>
        <w:t>2 khoảng 5% - 8%</w:t>
      </w:r>
      <w:r w:rsidRPr="00733486">
        <w:rPr>
          <w:rFonts w:ascii="Times New Roman" w:hAnsi="Times New Roman" w:cs="Times New Roman"/>
          <w:sz w:val="26"/>
          <w:szCs w:val="26"/>
        </w:rPr>
        <w:t>.</w:t>
      </w:r>
    </w:p>
    <w:p w14:paraId="7D7068D2" w14:textId="6F524A4E" w:rsidR="000F77C4" w:rsidRPr="00733486" w:rsidRDefault="000F77C4" w:rsidP="00BD3E07">
      <w:pPr>
        <w:spacing w:after="0" w:line="336" w:lineRule="auto"/>
        <w:ind w:firstLine="0"/>
        <w:rPr>
          <w:rFonts w:ascii="Times New Roman" w:hAnsi="Times New Roman" w:cs="Times New Roman"/>
          <w:b/>
          <w:sz w:val="26"/>
          <w:szCs w:val="26"/>
          <w:lang w:val="de-DE"/>
        </w:rPr>
      </w:pPr>
      <w:r w:rsidRPr="00733486">
        <w:rPr>
          <w:rFonts w:ascii="Times New Roman" w:hAnsi="Times New Roman" w:cs="Times New Roman"/>
          <w:b/>
          <w:sz w:val="26"/>
          <w:szCs w:val="26"/>
          <w:lang w:val="de-DE"/>
        </w:rPr>
        <w:t>III.3</w:t>
      </w:r>
      <w:r w:rsidR="00E1632E" w:rsidRPr="00733486">
        <w:rPr>
          <w:rFonts w:ascii="Times New Roman" w:hAnsi="Times New Roman" w:cs="Times New Roman"/>
          <w:b/>
          <w:sz w:val="26"/>
          <w:szCs w:val="26"/>
          <w:lang w:val="de-DE"/>
        </w:rPr>
        <w:t>.</w:t>
      </w:r>
      <w:r w:rsidRPr="00733486">
        <w:rPr>
          <w:rFonts w:ascii="Times New Roman" w:hAnsi="Times New Roman" w:cs="Times New Roman"/>
          <w:b/>
          <w:sz w:val="26"/>
          <w:szCs w:val="26"/>
          <w:lang w:val="de-DE"/>
        </w:rPr>
        <w:t xml:space="preserve"> Về đơn giá nhân công các địa phương theo công bố và mức lương tối thiểu quy định tại Nghị định số 38/2022/NĐ-CP</w:t>
      </w:r>
    </w:p>
    <w:p w14:paraId="292C0DD7" w14:textId="660AAE48" w:rsidR="00C22310" w:rsidRDefault="00D216D4" w:rsidP="00041FA9">
      <w:pPr>
        <w:spacing w:after="0" w:line="312" w:lineRule="auto"/>
        <w:ind w:right="0" w:firstLine="567"/>
        <w:rPr>
          <w:rFonts w:ascii="Times New Roman" w:hAnsi="Times New Roman" w:cs="Times New Roman"/>
          <w:sz w:val="26"/>
          <w:szCs w:val="26"/>
        </w:rPr>
      </w:pPr>
      <w:r w:rsidRPr="00733486">
        <w:rPr>
          <w:rFonts w:ascii="Times New Roman" w:hAnsi="Times New Roman" w:cs="Times New Roman"/>
          <w:sz w:val="26"/>
          <w:szCs w:val="26"/>
        </w:rPr>
        <w:t xml:space="preserve">Hiện nay, các địa phương công bố đơn giá nhân công trên cơ sở khảo sát giá nhân công thị trường, tuy nhiên do Bộ Xây dựng công bố khung đơn giá nhân công </w:t>
      </w:r>
      <w:r w:rsidR="00D3212C" w:rsidRPr="00733486">
        <w:rPr>
          <w:rFonts w:ascii="Times New Roman" w:hAnsi="Times New Roman" w:cs="Times New Roman"/>
          <w:sz w:val="26"/>
          <w:szCs w:val="26"/>
        </w:rPr>
        <w:t xml:space="preserve">khống chế, </w:t>
      </w:r>
      <w:r w:rsidRPr="00733486">
        <w:rPr>
          <w:rFonts w:ascii="Times New Roman" w:hAnsi="Times New Roman" w:cs="Times New Roman"/>
          <w:sz w:val="26"/>
          <w:szCs w:val="26"/>
        </w:rPr>
        <w:t xml:space="preserve">nên </w:t>
      </w:r>
      <w:r w:rsidR="00703620" w:rsidRPr="00733486">
        <w:rPr>
          <w:rFonts w:ascii="Times New Roman" w:hAnsi="Times New Roman" w:cs="Times New Roman"/>
          <w:sz w:val="26"/>
          <w:szCs w:val="26"/>
        </w:rPr>
        <w:t>hầu hết đơn giá nhân công bình quân được các địa phương công bố đều nằm trong khung đơn giá nhân công theo hướng dẫn tại Phụ lục IV Thông tư 13.</w:t>
      </w:r>
      <w:r w:rsidRPr="00733486">
        <w:rPr>
          <w:rFonts w:ascii="Times New Roman" w:hAnsi="Times New Roman" w:cs="Times New Roman"/>
          <w:sz w:val="26"/>
          <w:szCs w:val="26"/>
        </w:rPr>
        <w:t xml:space="preserve"> </w:t>
      </w:r>
    </w:p>
    <w:p w14:paraId="0F1D5485" w14:textId="77777777" w:rsidR="00C22310" w:rsidRDefault="00C22310" w:rsidP="00041FA9">
      <w:pPr>
        <w:spacing w:after="0" w:line="312" w:lineRule="auto"/>
        <w:ind w:right="-1" w:firstLine="567"/>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3212C" w:rsidRPr="00733486">
        <w:rPr>
          <w:rFonts w:ascii="Times New Roman" w:hAnsi="Times New Roman" w:cs="Times New Roman"/>
          <w:sz w:val="26"/>
          <w:szCs w:val="26"/>
        </w:rPr>
        <w:t>Hiện tại</w:t>
      </w:r>
      <w:r w:rsidR="00D216D4" w:rsidRPr="00733486">
        <w:rPr>
          <w:rFonts w:ascii="Times New Roman" w:hAnsi="Times New Roman" w:cs="Times New Roman"/>
          <w:sz w:val="26"/>
          <w:szCs w:val="26"/>
        </w:rPr>
        <w:t xml:space="preserve"> có khoảng 30% địa phương công bố đơn giá nhân công chỉ cao hơn không quá 15% mức đơn giá nhân công tối thiểu của khung (ví dụ Hưng Yên, Hà Nam, Khánh Hòa, Cần Thơ…)</w:t>
      </w:r>
      <w:r>
        <w:rPr>
          <w:rFonts w:ascii="Times New Roman" w:hAnsi="Times New Roman" w:cs="Times New Roman"/>
          <w:sz w:val="26"/>
          <w:szCs w:val="26"/>
        </w:rPr>
        <w:t>.</w:t>
      </w:r>
    </w:p>
    <w:p w14:paraId="6367C594" w14:textId="77777777" w:rsidR="00C22310" w:rsidRDefault="00C22310" w:rsidP="00041FA9">
      <w:pPr>
        <w:spacing w:after="0" w:line="312" w:lineRule="auto"/>
        <w:ind w:right="-1" w:firstLine="567"/>
        <w:rPr>
          <w:rFonts w:ascii="Times New Roman" w:hAnsi="Times New Roman" w:cs="Times New Roman"/>
          <w:sz w:val="26"/>
          <w:szCs w:val="26"/>
        </w:rPr>
      </w:pPr>
      <w:r>
        <w:rPr>
          <w:rFonts w:ascii="Times New Roman" w:hAnsi="Times New Roman" w:cs="Times New Roman"/>
          <w:sz w:val="26"/>
          <w:szCs w:val="26"/>
        </w:rPr>
        <w:t>-</w:t>
      </w:r>
      <w:r w:rsidR="00D216D4" w:rsidRPr="00733486">
        <w:rPr>
          <w:rFonts w:ascii="Times New Roman" w:hAnsi="Times New Roman" w:cs="Times New Roman"/>
          <w:sz w:val="26"/>
          <w:szCs w:val="26"/>
        </w:rPr>
        <w:t xml:space="preserve"> </w:t>
      </w:r>
      <w:r>
        <w:rPr>
          <w:rFonts w:ascii="Times New Roman" w:hAnsi="Times New Roman" w:cs="Times New Roman"/>
          <w:sz w:val="26"/>
          <w:szCs w:val="26"/>
        </w:rPr>
        <w:t>C</w:t>
      </w:r>
      <w:r w:rsidR="00D216D4" w:rsidRPr="00733486">
        <w:rPr>
          <w:rFonts w:ascii="Times New Roman" w:hAnsi="Times New Roman" w:cs="Times New Roman"/>
          <w:sz w:val="26"/>
          <w:szCs w:val="26"/>
        </w:rPr>
        <w:t xml:space="preserve">ó </w:t>
      </w:r>
      <w:r>
        <w:rPr>
          <w:rFonts w:ascii="Times New Roman" w:hAnsi="Times New Roman" w:cs="Times New Roman"/>
          <w:sz w:val="26"/>
          <w:szCs w:val="26"/>
        </w:rPr>
        <w:t xml:space="preserve">01 </w:t>
      </w:r>
      <w:r w:rsidR="00D216D4" w:rsidRPr="00733486">
        <w:rPr>
          <w:rFonts w:ascii="Times New Roman" w:hAnsi="Times New Roman" w:cs="Times New Roman"/>
          <w:sz w:val="26"/>
          <w:szCs w:val="26"/>
        </w:rPr>
        <w:t xml:space="preserve">tỉnh </w:t>
      </w:r>
      <w:r w:rsidRPr="00733486">
        <w:rPr>
          <w:rFonts w:ascii="Times New Roman" w:hAnsi="Times New Roman" w:cs="Times New Roman"/>
          <w:sz w:val="26"/>
          <w:szCs w:val="26"/>
        </w:rPr>
        <w:t xml:space="preserve">công bố đơn giá nhân công </w:t>
      </w:r>
      <w:r w:rsidR="00D216D4" w:rsidRPr="00733486">
        <w:rPr>
          <w:rFonts w:ascii="Times New Roman" w:hAnsi="Times New Roman" w:cs="Times New Roman"/>
          <w:sz w:val="26"/>
          <w:szCs w:val="26"/>
        </w:rPr>
        <w:t xml:space="preserve">bằng mức tối thiểu (tỉnh Cao Bằng </w:t>
      </w:r>
      <w:r w:rsidR="00565D65" w:rsidRPr="00733486">
        <w:rPr>
          <w:rFonts w:ascii="Times New Roman" w:hAnsi="Times New Roman" w:cs="Times New Roman"/>
          <w:sz w:val="26"/>
          <w:szCs w:val="26"/>
        </w:rPr>
        <w:t xml:space="preserve">giá nhân công vùng 4 là </w:t>
      </w:r>
      <w:r w:rsidR="00D216D4" w:rsidRPr="00733486">
        <w:rPr>
          <w:rFonts w:ascii="Times New Roman" w:hAnsi="Times New Roman" w:cs="Times New Roman"/>
          <w:sz w:val="26"/>
          <w:szCs w:val="26"/>
        </w:rPr>
        <w:t xml:space="preserve">172.000 đồng/ngày công </w:t>
      </w:r>
      <w:r w:rsidR="00565D65" w:rsidRPr="00733486">
        <w:rPr>
          <w:rFonts w:ascii="Times New Roman" w:hAnsi="Times New Roman" w:cs="Times New Roman"/>
          <w:sz w:val="26"/>
          <w:szCs w:val="26"/>
        </w:rPr>
        <w:t>bằng</w:t>
      </w:r>
      <w:r w:rsidR="00D216D4" w:rsidRPr="00733486">
        <w:rPr>
          <w:rFonts w:ascii="Times New Roman" w:hAnsi="Times New Roman" w:cs="Times New Roman"/>
          <w:sz w:val="26"/>
          <w:szCs w:val="26"/>
        </w:rPr>
        <w:t xml:space="preserve"> mức tối thiểu của khung và 180.000 đồng/ngày công cho vùng 3, cao hơn 4,65% so với mức tối thiểu của khung)</w:t>
      </w:r>
      <w:r>
        <w:rPr>
          <w:rFonts w:ascii="Times New Roman" w:hAnsi="Times New Roman" w:cs="Times New Roman"/>
          <w:sz w:val="26"/>
          <w:szCs w:val="26"/>
        </w:rPr>
        <w:t>.</w:t>
      </w:r>
    </w:p>
    <w:p w14:paraId="68A92B95" w14:textId="77777777" w:rsidR="00C22310" w:rsidRDefault="00C22310" w:rsidP="00041FA9">
      <w:pPr>
        <w:spacing w:after="0" w:line="312" w:lineRule="auto"/>
        <w:ind w:right="-1" w:firstLine="567"/>
        <w:rPr>
          <w:rFonts w:ascii="Times New Roman" w:hAnsi="Times New Roman" w:cs="Times New Roman"/>
          <w:sz w:val="26"/>
          <w:szCs w:val="26"/>
        </w:rPr>
      </w:pPr>
      <w:r>
        <w:rPr>
          <w:rFonts w:ascii="Times New Roman" w:hAnsi="Times New Roman" w:cs="Times New Roman"/>
          <w:sz w:val="26"/>
          <w:szCs w:val="26"/>
        </w:rPr>
        <w:t>-</w:t>
      </w:r>
      <w:r w:rsidR="00D216D4" w:rsidRPr="00733486">
        <w:rPr>
          <w:rFonts w:ascii="Times New Roman" w:hAnsi="Times New Roman" w:cs="Times New Roman"/>
          <w:sz w:val="26"/>
          <w:szCs w:val="26"/>
        </w:rPr>
        <w:t xml:space="preserve"> </w:t>
      </w:r>
      <w:r>
        <w:rPr>
          <w:rFonts w:ascii="Times New Roman" w:hAnsi="Times New Roman" w:cs="Times New Roman"/>
          <w:sz w:val="26"/>
          <w:szCs w:val="26"/>
        </w:rPr>
        <w:t>C</w:t>
      </w:r>
      <w:r w:rsidR="00D216D4" w:rsidRPr="00733486">
        <w:rPr>
          <w:rFonts w:ascii="Times New Roman" w:hAnsi="Times New Roman" w:cs="Times New Roman"/>
          <w:sz w:val="26"/>
          <w:szCs w:val="26"/>
        </w:rPr>
        <w:t>ó khoảng 35% số địa phương công bố đơn giá nhân công ở mức trung bình của khung (trung bình từ 240.000 đến 270.000 đồng/ngày công như Cà Mau, Đồng Tháp …)</w:t>
      </w:r>
      <w:r>
        <w:rPr>
          <w:rFonts w:ascii="Times New Roman" w:hAnsi="Times New Roman" w:cs="Times New Roman"/>
          <w:sz w:val="26"/>
          <w:szCs w:val="26"/>
        </w:rPr>
        <w:t>.</w:t>
      </w:r>
    </w:p>
    <w:p w14:paraId="26126620" w14:textId="77777777" w:rsidR="00C22310" w:rsidRDefault="00C22310" w:rsidP="00041FA9">
      <w:pPr>
        <w:spacing w:after="0" w:line="312" w:lineRule="auto"/>
        <w:ind w:right="-1" w:firstLine="567"/>
        <w:rPr>
          <w:rFonts w:ascii="Times New Roman" w:hAnsi="Times New Roman" w:cs="Times New Roman"/>
          <w:sz w:val="26"/>
          <w:szCs w:val="26"/>
        </w:rPr>
      </w:pPr>
      <w:r>
        <w:rPr>
          <w:rFonts w:ascii="Times New Roman" w:hAnsi="Times New Roman" w:cs="Times New Roman"/>
          <w:sz w:val="26"/>
          <w:szCs w:val="26"/>
        </w:rPr>
        <w:t>- Có</w:t>
      </w:r>
      <w:r w:rsidR="00D216D4" w:rsidRPr="00733486">
        <w:rPr>
          <w:rFonts w:ascii="Times New Roman" w:hAnsi="Times New Roman" w:cs="Times New Roman"/>
          <w:sz w:val="26"/>
          <w:szCs w:val="26"/>
        </w:rPr>
        <w:t xml:space="preserve"> khoảng 30% số địa phương có đơn giá nhân công bằng hoặc cao hơn mức 85% so với mức nhân công tối đa của khung (như Đà Nẵng, Đồng Nai vùng I và vùng II, Đăk Nông…)</w:t>
      </w:r>
      <w:r>
        <w:rPr>
          <w:rFonts w:ascii="Times New Roman" w:hAnsi="Times New Roman" w:cs="Times New Roman"/>
          <w:sz w:val="26"/>
          <w:szCs w:val="26"/>
        </w:rPr>
        <w:t>.</w:t>
      </w:r>
    </w:p>
    <w:p w14:paraId="1C74A522" w14:textId="77777777" w:rsidR="00C22310" w:rsidRDefault="00C22310" w:rsidP="00041FA9">
      <w:pPr>
        <w:spacing w:after="0" w:line="312" w:lineRule="auto"/>
        <w:ind w:right="-1" w:firstLine="567"/>
        <w:rPr>
          <w:rFonts w:ascii="Times New Roman" w:hAnsi="Times New Roman" w:cs="Times New Roman"/>
          <w:sz w:val="26"/>
          <w:szCs w:val="26"/>
        </w:rPr>
      </w:pPr>
      <w:r>
        <w:rPr>
          <w:rFonts w:ascii="Times New Roman" w:hAnsi="Times New Roman" w:cs="Times New Roman"/>
          <w:sz w:val="26"/>
          <w:szCs w:val="26"/>
        </w:rPr>
        <w:t>-</w:t>
      </w:r>
      <w:r w:rsidR="00D216D4" w:rsidRPr="00733486">
        <w:rPr>
          <w:rFonts w:ascii="Times New Roman" w:hAnsi="Times New Roman" w:cs="Times New Roman"/>
          <w:sz w:val="26"/>
          <w:szCs w:val="26"/>
        </w:rPr>
        <w:t xml:space="preserve"> </w:t>
      </w:r>
      <w:r>
        <w:rPr>
          <w:rFonts w:ascii="Times New Roman" w:hAnsi="Times New Roman" w:cs="Times New Roman"/>
          <w:sz w:val="26"/>
          <w:szCs w:val="26"/>
        </w:rPr>
        <w:t xml:space="preserve">Chỉ </w:t>
      </w:r>
      <w:r w:rsidR="00D216D4" w:rsidRPr="00733486">
        <w:rPr>
          <w:rFonts w:ascii="Times New Roman" w:hAnsi="Times New Roman" w:cs="Times New Roman"/>
          <w:sz w:val="26"/>
          <w:szCs w:val="26"/>
        </w:rPr>
        <w:t xml:space="preserve">có 06 địa phương (Bắc Giang, Lai Châu, Nghệ An, Đồng Tháp, Đồng Nai vùng III, Bình Dương ) có đơn giá nhân công bằng mức tối đa của khung. </w:t>
      </w:r>
    </w:p>
    <w:p w14:paraId="1717765B" w14:textId="29958FDD" w:rsidR="00D216D4" w:rsidRPr="00733486" w:rsidRDefault="00C22310" w:rsidP="00041FA9">
      <w:pPr>
        <w:spacing w:after="0" w:line="312" w:lineRule="auto"/>
        <w:ind w:right="-1" w:firstLine="567"/>
        <w:rPr>
          <w:rFonts w:ascii="Times New Roman" w:hAnsi="Times New Roman" w:cs="Times New Roman"/>
          <w:sz w:val="26"/>
          <w:szCs w:val="26"/>
        </w:rPr>
      </w:pPr>
      <w:r>
        <w:rPr>
          <w:rFonts w:ascii="Times New Roman" w:hAnsi="Times New Roman" w:cs="Times New Roman"/>
          <w:sz w:val="26"/>
          <w:szCs w:val="26"/>
        </w:rPr>
        <w:t xml:space="preserve">- </w:t>
      </w:r>
      <w:r w:rsidR="00D216D4" w:rsidRPr="00733486">
        <w:rPr>
          <w:rFonts w:ascii="Times New Roman" w:hAnsi="Times New Roman" w:cs="Times New Roman"/>
          <w:sz w:val="26"/>
          <w:szCs w:val="26"/>
        </w:rPr>
        <w:t>Một số địa phương như Quảng Ninh, Quảng Ngãi, Quảng Nam</w:t>
      </w:r>
      <w:r w:rsidR="006C29F2" w:rsidRPr="00733486">
        <w:rPr>
          <w:rFonts w:ascii="Times New Roman" w:hAnsi="Times New Roman" w:cs="Times New Roman"/>
          <w:sz w:val="26"/>
          <w:szCs w:val="26"/>
        </w:rPr>
        <w:t xml:space="preserve">, </w:t>
      </w:r>
      <w:r w:rsidR="000A596E" w:rsidRPr="00733486">
        <w:rPr>
          <w:rFonts w:ascii="Times New Roman" w:hAnsi="Times New Roman" w:cs="Times New Roman"/>
          <w:sz w:val="26"/>
          <w:szCs w:val="26"/>
        </w:rPr>
        <w:t>B</w:t>
      </w:r>
      <w:r w:rsidR="006C29F2" w:rsidRPr="00733486">
        <w:rPr>
          <w:rFonts w:ascii="Times New Roman" w:hAnsi="Times New Roman" w:cs="Times New Roman"/>
          <w:sz w:val="26"/>
          <w:szCs w:val="26"/>
        </w:rPr>
        <w:t>à Rịa- Vũng Tàu</w:t>
      </w:r>
      <w:r w:rsidR="00D216D4" w:rsidRPr="00733486">
        <w:rPr>
          <w:rFonts w:ascii="Times New Roman" w:hAnsi="Times New Roman" w:cs="Times New Roman"/>
          <w:sz w:val="26"/>
          <w:szCs w:val="26"/>
        </w:rPr>
        <w:t xml:space="preserve"> công bố mức nhân công ở các </w:t>
      </w:r>
      <w:r w:rsidR="00CB6ACD" w:rsidRPr="00733486">
        <w:rPr>
          <w:rFonts w:ascii="Times New Roman" w:hAnsi="Times New Roman" w:cs="Times New Roman"/>
          <w:sz w:val="26"/>
          <w:szCs w:val="26"/>
        </w:rPr>
        <w:t>huyện</w:t>
      </w:r>
      <w:r w:rsidR="00D216D4" w:rsidRPr="00733486">
        <w:rPr>
          <w:rFonts w:ascii="Times New Roman" w:hAnsi="Times New Roman" w:cs="Times New Roman"/>
          <w:sz w:val="26"/>
          <w:szCs w:val="26"/>
        </w:rPr>
        <w:t xml:space="preserve"> đảo, vùng xa </w:t>
      </w:r>
      <w:r w:rsidR="006C29F2" w:rsidRPr="00733486">
        <w:rPr>
          <w:rFonts w:ascii="Times New Roman" w:hAnsi="Times New Roman" w:cs="Times New Roman"/>
          <w:sz w:val="26"/>
          <w:szCs w:val="26"/>
        </w:rPr>
        <w:t xml:space="preserve">phù hợp </w:t>
      </w:r>
      <w:r w:rsidR="00D216D4" w:rsidRPr="00733486">
        <w:rPr>
          <w:rFonts w:ascii="Times New Roman" w:hAnsi="Times New Roman" w:cs="Times New Roman"/>
          <w:sz w:val="26"/>
          <w:szCs w:val="26"/>
        </w:rPr>
        <w:t xml:space="preserve">khung đơn giá nhân công </w:t>
      </w:r>
      <w:r w:rsidR="006C29F2" w:rsidRPr="00733486">
        <w:rPr>
          <w:rFonts w:ascii="Times New Roman" w:hAnsi="Times New Roman" w:cs="Times New Roman"/>
          <w:sz w:val="26"/>
          <w:szCs w:val="26"/>
        </w:rPr>
        <w:t xml:space="preserve">có tính đến hệ số 1,2 cho vùng sâu, vùng xa </w:t>
      </w:r>
      <w:r w:rsidR="00D216D4" w:rsidRPr="00733486">
        <w:rPr>
          <w:rFonts w:ascii="Times New Roman" w:hAnsi="Times New Roman" w:cs="Times New Roman"/>
          <w:i/>
          <w:iCs/>
          <w:spacing w:val="-2"/>
          <w:sz w:val="26"/>
          <w:szCs w:val="26"/>
          <w:vertAlign w:val="superscript"/>
          <w:lang w:val="de-DE"/>
        </w:rPr>
        <w:t>[</w:t>
      </w:r>
      <w:r w:rsidR="00D216D4" w:rsidRPr="00733486">
        <w:rPr>
          <w:rStyle w:val="FootnoteReference"/>
          <w:rFonts w:ascii="Times New Roman" w:hAnsi="Times New Roman" w:cs="Times New Roman"/>
          <w:i/>
          <w:iCs/>
          <w:sz w:val="26"/>
          <w:szCs w:val="26"/>
          <w:vertAlign w:val="superscript"/>
          <w:lang w:val="pt-BR"/>
        </w:rPr>
        <w:footnoteReference w:id="10"/>
      </w:r>
      <w:r w:rsidR="00D216D4" w:rsidRPr="00733486">
        <w:rPr>
          <w:rFonts w:ascii="Times New Roman" w:hAnsi="Times New Roman" w:cs="Times New Roman"/>
          <w:i/>
          <w:iCs/>
          <w:sz w:val="26"/>
          <w:szCs w:val="26"/>
          <w:vertAlign w:val="superscript"/>
          <w:lang w:val="pt-BR"/>
        </w:rPr>
        <w:t>]</w:t>
      </w:r>
      <w:r w:rsidR="00D216D4" w:rsidRPr="00733486">
        <w:rPr>
          <w:rFonts w:ascii="Times New Roman" w:hAnsi="Times New Roman" w:cs="Times New Roman"/>
          <w:i/>
          <w:iCs/>
          <w:spacing w:val="-2"/>
          <w:sz w:val="26"/>
          <w:szCs w:val="26"/>
          <w:vertAlign w:val="superscript"/>
          <w:lang w:val="de-DE"/>
        </w:rPr>
        <w:t>.</w:t>
      </w:r>
    </w:p>
    <w:p w14:paraId="6807A6AF" w14:textId="0E44AB6E" w:rsidR="006C29F2" w:rsidRPr="00733486" w:rsidRDefault="00C22310" w:rsidP="00041FA9">
      <w:pPr>
        <w:spacing w:after="0" w:line="312" w:lineRule="auto"/>
        <w:ind w:right="-1" w:firstLine="567"/>
        <w:rPr>
          <w:rFonts w:ascii="Times New Roman" w:hAnsi="Times New Roman" w:cs="Times New Roman"/>
          <w:sz w:val="26"/>
          <w:szCs w:val="26"/>
        </w:rPr>
      </w:pPr>
      <w:r>
        <w:rPr>
          <w:rFonts w:ascii="Times New Roman" w:hAnsi="Times New Roman" w:cs="Times New Roman"/>
          <w:sz w:val="26"/>
          <w:szCs w:val="26"/>
        </w:rPr>
        <w:t xml:space="preserve">- </w:t>
      </w:r>
      <w:r w:rsidR="006C29F2" w:rsidRPr="00733486">
        <w:rPr>
          <w:rFonts w:ascii="Times New Roman" w:hAnsi="Times New Roman" w:cs="Times New Roman"/>
          <w:sz w:val="26"/>
          <w:szCs w:val="26"/>
        </w:rPr>
        <w:t xml:space="preserve">Tuy nhiên một số địa phương </w:t>
      </w:r>
      <w:r w:rsidR="00CB6ACD" w:rsidRPr="00733486">
        <w:rPr>
          <w:rFonts w:ascii="Times New Roman" w:hAnsi="Times New Roman" w:cs="Times New Roman"/>
          <w:sz w:val="26"/>
          <w:szCs w:val="26"/>
        </w:rPr>
        <w:t xml:space="preserve">có các địa bàn vùng sâu vùng xa, huyện đảo </w:t>
      </w:r>
      <w:r w:rsidR="00260D12" w:rsidRPr="00733486">
        <w:rPr>
          <w:rFonts w:ascii="Times New Roman" w:hAnsi="Times New Roman" w:cs="Times New Roman"/>
          <w:sz w:val="26"/>
          <w:szCs w:val="26"/>
        </w:rPr>
        <w:t>chưa kịp thời</w:t>
      </w:r>
      <w:r w:rsidR="00CB6ACD" w:rsidRPr="00733486">
        <w:rPr>
          <w:rFonts w:ascii="Times New Roman" w:hAnsi="Times New Roman" w:cs="Times New Roman"/>
          <w:sz w:val="26"/>
          <w:szCs w:val="26"/>
        </w:rPr>
        <w:t xml:space="preserve"> công bố khung đơn giá nhân công cho các địa bàn này mà lấy</w:t>
      </w:r>
      <w:r w:rsidR="00DC3362" w:rsidRPr="00733486">
        <w:rPr>
          <w:rFonts w:ascii="Times New Roman" w:hAnsi="Times New Roman" w:cs="Times New Roman"/>
          <w:sz w:val="26"/>
          <w:szCs w:val="26"/>
        </w:rPr>
        <w:t xml:space="preserve"> cùng mặt bằng</w:t>
      </w:r>
      <w:r w:rsidR="00260D12" w:rsidRPr="00733486">
        <w:rPr>
          <w:rFonts w:ascii="Times New Roman" w:hAnsi="Times New Roman" w:cs="Times New Roman"/>
          <w:sz w:val="26"/>
          <w:szCs w:val="26"/>
        </w:rPr>
        <w:t xml:space="preserve"> với</w:t>
      </w:r>
      <w:r w:rsidR="00CB6ACD" w:rsidRPr="00733486">
        <w:rPr>
          <w:rFonts w:ascii="Times New Roman" w:hAnsi="Times New Roman" w:cs="Times New Roman"/>
          <w:sz w:val="26"/>
          <w:szCs w:val="26"/>
        </w:rPr>
        <w:t xml:space="preserve"> mức </w:t>
      </w:r>
      <w:r w:rsidR="00260D12" w:rsidRPr="00733486">
        <w:rPr>
          <w:rFonts w:ascii="Times New Roman" w:hAnsi="Times New Roman" w:cs="Times New Roman"/>
          <w:sz w:val="26"/>
          <w:szCs w:val="26"/>
        </w:rPr>
        <w:t>nhân công của vùng 4 (ví dụ huyện đảo Trường Sa của Khánh Hòa, huyện đảo Phú Quốc của Kiên Giang, huyện đảo Cồn Cỏ của Quảng Ngãi…chưa có đơn giá riêng), điều này là chưa thực sự phù hợp với thực tế</w:t>
      </w:r>
      <w:r w:rsidR="00A87A5E" w:rsidRPr="00733486">
        <w:rPr>
          <w:rFonts w:ascii="Times New Roman" w:hAnsi="Times New Roman" w:cs="Times New Roman"/>
          <w:sz w:val="26"/>
          <w:szCs w:val="26"/>
        </w:rPr>
        <w:t>, ảnh hưởng đến doanh ng</w:t>
      </w:r>
      <w:r w:rsidR="00DC3362" w:rsidRPr="00733486">
        <w:rPr>
          <w:rFonts w:ascii="Times New Roman" w:hAnsi="Times New Roman" w:cs="Times New Roman"/>
          <w:sz w:val="26"/>
          <w:szCs w:val="26"/>
        </w:rPr>
        <w:t>h</w:t>
      </w:r>
      <w:r w:rsidR="00A87A5E" w:rsidRPr="00733486">
        <w:rPr>
          <w:rFonts w:ascii="Times New Roman" w:hAnsi="Times New Roman" w:cs="Times New Roman"/>
          <w:sz w:val="26"/>
          <w:szCs w:val="26"/>
        </w:rPr>
        <w:t>iệp xây dựng và thu nhập của người lao động.</w:t>
      </w:r>
    </w:p>
    <w:p w14:paraId="76EA88B3" w14:textId="3BF413B5" w:rsidR="00384694" w:rsidRPr="00733486" w:rsidRDefault="00A87A5E" w:rsidP="00041FA9">
      <w:pPr>
        <w:spacing w:after="0" w:line="312" w:lineRule="auto"/>
        <w:ind w:right="-1" w:firstLine="567"/>
        <w:rPr>
          <w:rFonts w:ascii="Times New Roman" w:hAnsi="Times New Roman" w:cs="Times New Roman"/>
          <w:sz w:val="26"/>
          <w:szCs w:val="26"/>
        </w:rPr>
      </w:pPr>
      <w:r w:rsidRPr="00733486">
        <w:rPr>
          <w:rFonts w:ascii="Times New Roman" w:hAnsi="Times New Roman" w:cs="Times New Roman"/>
          <w:sz w:val="26"/>
          <w:szCs w:val="26"/>
        </w:rPr>
        <w:t>Từ đầu</w:t>
      </w:r>
      <w:r w:rsidR="00384694" w:rsidRPr="00733486">
        <w:rPr>
          <w:rFonts w:ascii="Times New Roman" w:hAnsi="Times New Roman" w:cs="Times New Roman"/>
          <w:sz w:val="26"/>
          <w:szCs w:val="26"/>
        </w:rPr>
        <w:t xml:space="preserve"> năm 2023</w:t>
      </w:r>
      <w:r w:rsidRPr="00733486">
        <w:rPr>
          <w:rFonts w:ascii="Times New Roman" w:hAnsi="Times New Roman" w:cs="Times New Roman"/>
          <w:sz w:val="26"/>
          <w:szCs w:val="26"/>
        </w:rPr>
        <w:t xml:space="preserve"> đến nay</w:t>
      </w:r>
      <w:r w:rsidR="00384694" w:rsidRPr="00733486">
        <w:rPr>
          <w:rFonts w:ascii="Times New Roman" w:hAnsi="Times New Roman" w:cs="Times New Roman"/>
          <w:sz w:val="26"/>
          <w:szCs w:val="26"/>
        </w:rPr>
        <w:t>, có 06 tỉnh công bố giá nhân công khảo sát theo giá thị trường thay thế cho công bố nhân công năm 2021 và năm 2022.</w:t>
      </w:r>
    </w:p>
    <w:p w14:paraId="2914FFA6" w14:textId="7F707327" w:rsidR="00384694" w:rsidRPr="008F04B6" w:rsidRDefault="00384694" w:rsidP="00BD3E07">
      <w:pPr>
        <w:pStyle w:val="body-text"/>
        <w:shd w:val="clear" w:color="auto" w:fill="FFFFFF"/>
        <w:spacing w:before="0" w:beforeAutospacing="0" w:after="0" w:afterAutospacing="0" w:line="336" w:lineRule="auto"/>
        <w:ind w:firstLine="567"/>
        <w:rPr>
          <w:spacing w:val="2"/>
          <w:sz w:val="26"/>
          <w:szCs w:val="26"/>
        </w:rPr>
      </w:pPr>
      <w:r w:rsidRPr="00733486">
        <w:rPr>
          <w:b/>
          <w:spacing w:val="2"/>
          <w:sz w:val="26"/>
          <w:szCs w:val="26"/>
        </w:rPr>
        <w:t>Bảng 2. Danh sách các tỉnh công bố nhân công 6 tháng đầu năm 2023</w:t>
      </w:r>
      <w:r w:rsidRPr="00733486">
        <w:rPr>
          <w:i/>
          <w:iCs/>
          <w:spacing w:val="-2"/>
          <w:sz w:val="26"/>
          <w:szCs w:val="26"/>
          <w:vertAlign w:val="superscript"/>
          <w:lang w:val="de-DE"/>
        </w:rPr>
        <w:t>[</w:t>
      </w:r>
      <w:r w:rsidRPr="00733486">
        <w:rPr>
          <w:rStyle w:val="FootnoteReference"/>
          <w:i/>
          <w:iCs/>
          <w:sz w:val="26"/>
          <w:szCs w:val="26"/>
          <w:vertAlign w:val="superscript"/>
          <w:lang w:val="pt-BR"/>
        </w:rPr>
        <w:footnoteReference w:id="11"/>
      </w:r>
      <w:r w:rsidRPr="00733486">
        <w:rPr>
          <w:i/>
          <w:iCs/>
          <w:sz w:val="26"/>
          <w:szCs w:val="26"/>
          <w:vertAlign w:val="superscript"/>
          <w:lang w:val="pt-BR"/>
        </w:rPr>
        <w:t>]</w:t>
      </w:r>
    </w:p>
    <w:tbl>
      <w:tblPr>
        <w:tblW w:w="5186" w:type="pct"/>
        <w:jc w:val="center"/>
        <w:tblLayout w:type="fixed"/>
        <w:tblLook w:val="04A0" w:firstRow="1" w:lastRow="0" w:firstColumn="1" w:lastColumn="0" w:noHBand="0" w:noVBand="1"/>
      </w:tblPr>
      <w:tblGrid>
        <w:gridCol w:w="677"/>
        <w:gridCol w:w="1587"/>
        <w:gridCol w:w="4536"/>
        <w:gridCol w:w="2834"/>
      </w:tblGrid>
      <w:tr w:rsidR="00384694" w:rsidRPr="00733486" w14:paraId="3EEF5D11" w14:textId="77777777" w:rsidTr="005927C6">
        <w:trPr>
          <w:cantSplit/>
          <w:trHeight w:val="794"/>
          <w:tblHeader/>
          <w:jc w:val="center"/>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0567A" w14:textId="77777777" w:rsidR="00384694" w:rsidRPr="00CE50BE" w:rsidRDefault="00384694" w:rsidP="00BD3E07">
            <w:pPr>
              <w:pStyle w:val="body-text"/>
              <w:shd w:val="clear" w:color="auto" w:fill="FFFFFF"/>
              <w:spacing w:before="0" w:beforeAutospacing="0" w:after="0" w:afterAutospacing="0" w:line="336" w:lineRule="auto"/>
              <w:jc w:val="center"/>
              <w:rPr>
                <w:b/>
                <w:bCs/>
                <w:spacing w:val="2"/>
              </w:rPr>
            </w:pPr>
            <w:r w:rsidRPr="00CE50BE">
              <w:rPr>
                <w:b/>
                <w:bCs/>
                <w:spacing w:val="2"/>
              </w:rPr>
              <w:t>STT</w:t>
            </w:r>
          </w:p>
        </w:tc>
        <w:tc>
          <w:tcPr>
            <w:tcW w:w="823" w:type="pct"/>
            <w:tcBorders>
              <w:top w:val="single" w:sz="4" w:space="0" w:color="auto"/>
              <w:left w:val="nil"/>
              <w:bottom w:val="single" w:sz="4" w:space="0" w:color="auto"/>
              <w:right w:val="single" w:sz="4" w:space="0" w:color="auto"/>
            </w:tcBorders>
            <w:vAlign w:val="center"/>
          </w:tcPr>
          <w:p w14:paraId="132251A0" w14:textId="77777777" w:rsidR="00384694" w:rsidRPr="00CE50BE" w:rsidRDefault="00384694" w:rsidP="00BD3E07">
            <w:pPr>
              <w:pStyle w:val="body-text"/>
              <w:shd w:val="clear" w:color="auto" w:fill="FFFFFF"/>
              <w:spacing w:before="0" w:beforeAutospacing="0" w:after="0" w:afterAutospacing="0" w:line="336" w:lineRule="auto"/>
              <w:ind w:hanging="104"/>
              <w:jc w:val="center"/>
              <w:rPr>
                <w:b/>
                <w:bCs/>
                <w:spacing w:val="2"/>
              </w:rPr>
            </w:pPr>
            <w:r w:rsidRPr="00CE50BE">
              <w:rPr>
                <w:b/>
                <w:bCs/>
                <w:spacing w:val="2"/>
              </w:rPr>
              <w:t>Địa phương</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2FA8" w14:textId="77777777" w:rsidR="00384694" w:rsidRPr="00CE50BE" w:rsidRDefault="00384694" w:rsidP="00BD3E07">
            <w:pPr>
              <w:pStyle w:val="body-text"/>
              <w:shd w:val="clear" w:color="auto" w:fill="FFFFFF"/>
              <w:spacing w:before="0" w:beforeAutospacing="0" w:after="0" w:afterAutospacing="0" w:line="336" w:lineRule="auto"/>
              <w:jc w:val="center"/>
              <w:rPr>
                <w:b/>
                <w:bCs/>
                <w:spacing w:val="2"/>
              </w:rPr>
            </w:pPr>
            <w:r w:rsidRPr="00CE50BE">
              <w:rPr>
                <w:b/>
                <w:bCs/>
                <w:spacing w:val="2"/>
              </w:rPr>
              <w:t>Văn bản/quyết định công bố nhân công năm 2023</w:t>
            </w:r>
          </w:p>
        </w:tc>
        <w:tc>
          <w:tcPr>
            <w:tcW w:w="1471" w:type="pct"/>
            <w:tcBorders>
              <w:top w:val="single" w:sz="4" w:space="0" w:color="auto"/>
              <w:left w:val="single" w:sz="4" w:space="0" w:color="auto"/>
              <w:bottom w:val="single" w:sz="4" w:space="0" w:color="auto"/>
              <w:right w:val="single" w:sz="4" w:space="0" w:color="auto"/>
            </w:tcBorders>
            <w:vAlign w:val="center"/>
          </w:tcPr>
          <w:p w14:paraId="370B1347" w14:textId="77777777" w:rsidR="00384694" w:rsidRPr="00CE50BE" w:rsidRDefault="00384694" w:rsidP="00BD3E07">
            <w:pPr>
              <w:pStyle w:val="body-text"/>
              <w:shd w:val="clear" w:color="auto" w:fill="FFFFFF"/>
              <w:spacing w:before="0" w:beforeAutospacing="0" w:after="0" w:afterAutospacing="0" w:line="336" w:lineRule="auto"/>
              <w:jc w:val="center"/>
              <w:rPr>
                <w:b/>
                <w:bCs/>
                <w:spacing w:val="2"/>
              </w:rPr>
            </w:pPr>
            <w:r w:rsidRPr="00CE50BE">
              <w:rPr>
                <w:b/>
                <w:bCs/>
                <w:spacing w:val="2"/>
              </w:rPr>
              <w:t>Mức độ tăng bình quân so với công bố nhân công trước năm 2023 (%)</w:t>
            </w:r>
          </w:p>
        </w:tc>
      </w:tr>
      <w:tr w:rsidR="00384694" w:rsidRPr="00733486" w14:paraId="66A6B16E" w14:textId="77777777" w:rsidTr="005927C6">
        <w:trPr>
          <w:cantSplit/>
          <w:trHeight w:val="510"/>
          <w:jc w:val="center"/>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21995"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1</w:t>
            </w:r>
          </w:p>
        </w:tc>
        <w:tc>
          <w:tcPr>
            <w:tcW w:w="823" w:type="pct"/>
            <w:tcBorders>
              <w:top w:val="single" w:sz="4" w:space="0" w:color="auto"/>
              <w:left w:val="nil"/>
              <w:bottom w:val="single" w:sz="4" w:space="0" w:color="auto"/>
              <w:right w:val="single" w:sz="4" w:space="0" w:color="auto"/>
            </w:tcBorders>
            <w:vAlign w:val="center"/>
          </w:tcPr>
          <w:p w14:paraId="3A2C631D"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Bình Định</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31E49"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Quyết định số 3654/UBND-KT ngày 07/6/2023</w:t>
            </w:r>
          </w:p>
        </w:tc>
        <w:tc>
          <w:tcPr>
            <w:tcW w:w="1471" w:type="pct"/>
            <w:tcBorders>
              <w:top w:val="single" w:sz="4" w:space="0" w:color="auto"/>
              <w:left w:val="single" w:sz="4" w:space="0" w:color="auto"/>
              <w:bottom w:val="single" w:sz="4" w:space="0" w:color="auto"/>
              <w:right w:val="single" w:sz="4" w:space="0" w:color="auto"/>
            </w:tcBorders>
            <w:vAlign w:val="center"/>
          </w:tcPr>
          <w:p w14:paraId="4B0DACB0"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5,0</w:t>
            </w:r>
          </w:p>
        </w:tc>
      </w:tr>
      <w:tr w:rsidR="00384694" w:rsidRPr="00733486" w14:paraId="004739BE" w14:textId="77777777" w:rsidTr="005927C6">
        <w:trPr>
          <w:cantSplit/>
          <w:trHeight w:val="510"/>
          <w:jc w:val="center"/>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1AC78"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w:t>
            </w:r>
          </w:p>
        </w:tc>
        <w:tc>
          <w:tcPr>
            <w:tcW w:w="823" w:type="pct"/>
            <w:tcBorders>
              <w:top w:val="single" w:sz="4" w:space="0" w:color="auto"/>
              <w:left w:val="nil"/>
              <w:bottom w:val="single" w:sz="4" w:space="0" w:color="auto"/>
              <w:right w:val="single" w:sz="4" w:space="0" w:color="auto"/>
            </w:tcBorders>
            <w:vAlign w:val="center"/>
          </w:tcPr>
          <w:p w14:paraId="09723377"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Bình Phước</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D14B9"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Quyết định số 1061/QĐ-SXD ngày 19/4/2023</w:t>
            </w:r>
          </w:p>
        </w:tc>
        <w:tc>
          <w:tcPr>
            <w:tcW w:w="1471" w:type="pct"/>
            <w:tcBorders>
              <w:top w:val="single" w:sz="4" w:space="0" w:color="auto"/>
              <w:left w:val="single" w:sz="4" w:space="0" w:color="auto"/>
              <w:bottom w:val="single" w:sz="4" w:space="0" w:color="auto"/>
              <w:right w:val="single" w:sz="4" w:space="0" w:color="auto"/>
            </w:tcBorders>
            <w:vAlign w:val="center"/>
          </w:tcPr>
          <w:p w14:paraId="4580FBC3"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18,7</w:t>
            </w:r>
          </w:p>
        </w:tc>
      </w:tr>
      <w:tr w:rsidR="00384694" w:rsidRPr="00733486" w14:paraId="004B4218" w14:textId="77777777" w:rsidTr="005927C6">
        <w:trPr>
          <w:cantSplit/>
          <w:trHeight w:val="510"/>
          <w:jc w:val="center"/>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ECF97"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lastRenderedPageBreak/>
              <w:t>3</w:t>
            </w:r>
          </w:p>
        </w:tc>
        <w:tc>
          <w:tcPr>
            <w:tcW w:w="823" w:type="pct"/>
            <w:tcBorders>
              <w:top w:val="single" w:sz="4" w:space="0" w:color="auto"/>
              <w:left w:val="nil"/>
              <w:bottom w:val="single" w:sz="4" w:space="0" w:color="auto"/>
              <w:right w:val="single" w:sz="4" w:space="0" w:color="auto"/>
            </w:tcBorders>
            <w:vAlign w:val="center"/>
          </w:tcPr>
          <w:p w14:paraId="66EEBC15"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Kon Tum</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24CE4"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Quyết định số 52/SXD-QLXD ngày 11/01/2023</w:t>
            </w:r>
          </w:p>
        </w:tc>
        <w:tc>
          <w:tcPr>
            <w:tcW w:w="1471" w:type="pct"/>
            <w:tcBorders>
              <w:top w:val="single" w:sz="4" w:space="0" w:color="auto"/>
              <w:left w:val="single" w:sz="4" w:space="0" w:color="auto"/>
              <w:bottom w:val="single" w:sz="4" w:space="0" w:color="auto"/>
              <w:right w:val="single" w:sz="4" w:space="0" w:color="auto"/>
            </w:tcBorders>
            <w:vAlign w:val="center"/>
          </w:tcPr>
          <w:p w14:paraId="263CA9CF"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1,4</w:t>
            </w:r>
          </w:p>
        </w:tc>
      </w:tr>
      <w:tr w:rsidR="00384694" w:rsidRPr="00733486" w14:paraId="0C39E9B5" w14:textId="77777777" w:rsidTr="005927C6">
        <w:trPr>
          <w:cantSplit/>
          <w:trHeight w:val="510"/>
          <w:jc w:val="center"/>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348AA"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4</w:t>
            </w:r>
          </w:p>
        </w:tc>
        <w:tc>
          <w:tcPr>
            <w:tcW w:w="823" w:type="pct"/>
            <w:tcBorders>
              <w:top w:val="single" w:sz="4" w:space="0" w:color="auto"/>
              <w:left w:val="nil"/>
              <w:bottom w:val="single" w:sz="4" w:space="0" w:color="auto"/>
              <w:right w:val="single" w:sz="4" w:space="0" w:color="auto"/>
            </w:tcBorders>
            <w:vAlign w:val="center"/>
          </w:tcPr>
          <w:p w14:paraId="64779991"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Lạng Sơn</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B48E9"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Quyết định số 11/SXD-QLXD ngày 15/01/2023</w:t>
            </w:r>
          </w:p>
        </w:tc>
        <w:tc>
          <w:tcPr>
            <w:tcW w:w="1471" w:type="pct"/>
            <w:tcBorders>
              <w:top w:val="single" w:sz="4" w:space="0" w:color="auto"/>
              <w:left w:val="single" w:sz="4" w:space="0" w:color="auto"/>
              <w:bottom w:val="single" w:sz="4" w:space="0" w:color="auto"/>
              <w:right w:val="single" w:sz="4" w:space="0" w:color="auto"/>
            </w:tcBorders>
            <w:vAlign w:val="center"/>
          </w:tcPr>
          <w:p w14:paraId="7238E86F"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9,5</w:t>
            </w:r>
          </w:p>
        </w:tc>
      </w:tr>
      <w:tr w:rsidR="00384694" w:rsidRPr="00733486" w14:paraId="49925804" w14:textId="77777777" w:rsidTr="005927C6">
        <w:trPr>
          <w:cantSplit/>
          <w:trHeight w:val="339"/>
          <w:jc w:val="center"/>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C77024"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5</w:t>
            </w:r>
          </w:p>
        </w:tc>
        <w:tc>
          <w:tcPr>
            <w:tcW w:w="823" w:type="pct"/>
            <w:tcBorders>
              <w:top w:val="single" w:sz="4" w:space="0" w:color="auto"/>
              <w:left w:val="nil"/>
              <w:bottom w:val="single" w:sz="4" w:space="0" w:color="auto"/>
              <w:right w:val="single" w:sz="4" w:space="0" w:color="auto"/>
            </w:tcBorders>
            <w:vAlign w:val="center"/>
          </w:tcPr>
          <w:p w14:paraId="1225CF13"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Quảng Bình</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85D601"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Quyết định số 01/QĐ-SXD ngày 03/01/2023</w:t>
            </w:r>
          </w:p>
        </w:tc>
        <w:tc>
          <w:tcPr>
            <w:tcW w:w="1471" w:type="pct"/>
            <w:tcBorders>
              <w:top w:val="single" w:sz="4" w:space="0" w:color="auto"/>
              <w:left w:val="single" w:sz="4" w:space="0" w:color="auto"/>
              <w:bottom w:val="single" w:sz="4" w:space="0" w:color="auto"/>
              <w:right w:val="single" w:sz="4" w:space="0" w:color="auto"/>
            </w:tcBorders>
            <w:vAlign w:val="center"/>
          </w:tcPr>
          <w:p w14:paraId="5C6FD6DA"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4,0</w:t>
            </w:r>
          </w:p>
        </w:tc>
      </w:tr>
      <w:tr w:rsidR="00384694" w:rsidRPr="00733486" w14:paraId="6BF5CE23" w14:textId="77777777" w:rsidTr="005927C6">
        <w:trPr>
          <w:cantSplit/>
          <w:trHeight w:val="339"/>
          <w:jc w:val="center"/>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75DBC"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6</w:t>
            </w:r>
          </w:p>
        </w:tc>
        <w:tc>
          <w:tcPr>
            <w:tcW w:w="823" w:type="pct"/>
            <w:tcBorders>
              <w:top w:val="single" w:sz="4" w:space="0" w:color="auto"/>
              <w:left w:val="nil"/>
              <w:bottom w:val="single" w:sz="4" w:space="0" w:color="auto"/>
              <w:right w:val="single" w:sz="4" w:space="0" w:color="auto"/>
            </w:tcBorders>
            <w:vAlign w:val="center"/>
          </w:tcPr>
          <w:p w14:paraId="62E3A553"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Tuyên Quang</w:t>
            </w:r>
          </w:p>
        </w:tc>
        <w:tc>
          <w:tcPr>
            <w:tcW w:w="23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A4B8D"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Quyết định số 03/QĐ-SXD ngày 04/01/2023</w:t>
            </w:r>
          </w:p>
        </w:tc>
        <w:tc>
          <w:tcPr>
            <w:tcW w:w="1471" w:type="pct"/>
            <w:tcBorders>
              <w:top w:val="single" w:sz="4" w:space="0" w:color="auto"/>
              <w:left w:val="single" w:sz="4" w:space="0" w:color="auto"/>
              <w:bottom w:val="single" w:sz="4" w:space="0" w:color="auto"/>
              <w:right w:val="single" w:sz="4" w:space="0" w:color="auto"/>
            </w:tcBorders>
            <w:vAlign w:val="center"/>
          </w:tcPr>
          <w:p w14:paraId="0741375E" w14:textId="77777777" w:rsidR="00384694" w:rsidRPr="00733486" w:rsidRDefault="0038469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3,3</w:t>
            </w:r>
          </w:p>
        </w:tc>
      </w:tr>
    </w:tbl>
    <w:p w14:paraId="3BEFFA52" w14:textId="77777777" w:rsidR="005927C6" w:rsidRDefault="005927C6" w:rsidP="00BD3E07">
      <w:pPr>
        <w:spacing w:after="0" w:line="336" w:lineRule="auto"/>
        <w:ind w:right="-1" w:firstLine="567"/>
        <w:rPr>
          <w:rFonts w:ascii="Times New Roman" w:hAnsi="Times New Roman" w:cs="Times New Roman"/>
          <w:sz w:val="26"/>
          <w:szCs w:val="26"/>
        </w:rPr>
      </w:pPr>
    </w:p>
    <w:p w14:paraId="4FF20F5F" w14:textId="69DF709C" w:rsidR="00384694" w:rsidRPr="00733486" w:rsidRDefault="00384694"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 xml:space="preserve">Theo như tính toán tại </w:t>
      </w:r>
      <w:r w:rsidR="00713FFD" w:rsidRPr="00733486">
        <w:rPr>
          <w:rFonts w:ascii="Times New Roman" w:hAnsi="Times New Roman" w:cs="Times New Roman"/>
          <w:sz w:val="26"/>
          <w:szCs w:val="26"/>
        </w:rPr>
        <w:t>B</w:t>
      </w:r>
      <w:r w:rsidRPr="00733486">
        <w:rPr>
          <w:rFonts w:ascii="Times New Roman" w:hAnsi="Times New Roman" w:cs="Times New Roman"/>
          <w:sz w:val="26"/>
          <w:szCs w:val="26"/>
        </w:rPr>
        <w:t xml:space="preserve">ảng </w:t>
      </w:r>
      <w:r w:rsidR="00713FFD" w:rsidRPr="00733486">
        <w:rPr>
          <w:rFonts w:ascii="Times New Roman" w:hAnsi="Times New Roman" w:cs="Times New Roman"/>
          <w:sz w:val="26"/>
          <w:szCs w:val="26"/>
        </w:rPr>
        <w:t>2</w:t>
      </w:r>
      <w:r w:rsidRPr="00733486">
        <w:rPr>
          <w:rFonts w:ascii="Times New Roman" w:hAnsi="Times New Roman" w:cs="Times New Roman"/>
          <w:sz w:val="26"/>
          <w:szCs w:val="26"/>
        </w:rPr>
        <w:t>, thì mức độ tăng</w:t>
      </w:r>
      <w:r w:rsidR="00713FFD" w:rsidRPr="00733486">
        <w:rPr>
          <w:rFonts w:ascii="Times New Roman" w:hAnsi="Times New Roman" w:cs="Times New Roman"/>
          <w:sz w:val="26"/>
          <w:szCs w:val="26"/>
        </w:rPr>
        <w:t xml:space="preserve"> đơn giá bình quân năm 2023 so với năm 2021/2022 của các địa phương không đồng đều, tăng từ 1,4% - 18,7%, theo đánh giá của chúng tôi thì có nhiều nguyên nhân: mỗi địa phương có những đặc thù khác nhau về địa lý, tập quán, nguồn </w:t>
      </w:r>
      <w:r w:rsidR="00A87A5E" w:rsidRPr="00733486">
        <w:rPr>
          <w:rFonts w:ascii="Times New Roman" w:hAnsi="Times New Roman" w:cs="Times New Roman"/>
          <w:sz w:val="26"/>
          <w:szCs w:val="26"/>
        </w:rPr>
        <w:t>lao động, lực lượng lao động</w:t>
      </w:r>
      <w:r w:rsidR="00713FFD" w:rsidRPr="00733486">
        <w:rPr>
          <w:rFonts w:ascii="Times New Roman" w:hAnsi="Times New Roman" w:cs="Times New Roman"/>
          <w:sz w:val="26"/>
          <w:szCs w:val="26"/>
        </w:rPr>
        <w:t>, tình hình tăng trưởng kinh tế của địa phương, chỉ số giá tiêu dùng của địa phương, tình hình tăng trưởng chung của n</w:t>
      </w:r>
      <w:r w:rsidR="003711ED" w:rsidRPr="00733486">
        <w:rPr>
          <w:rFonts w:ascii="Times New Roman" w:hAnsi="Times New Roman" w:cs="Times New Roman"/>
          <w:sz w:val="26"/>
          <w:szCs w:val="26"/>
        </w:rPr>
        <w:t>g</w:t>
      </w:r>
      <w:r w:rsidR="00713FFD" w:rsidRPr="00733486">
        <w:rPr>
          <w:rFonts w:ascii="Times New Roman" w:hAnsi="Times New Roman" w:cs="Times New Roman"/>
          <w:sz w:val="26"/>
          <w:szCs w:val="26"/>
        </w:rPr>
        <w:t>ành xây dựng</w:t>
      </w:r>
      <w:r w:rsidR="00A87A5E" w:rsidRPr="00733486">
        <w:rPr>
          <w:rFonts w:ascii="Times New Roman" w:hAnsi="Times New Roman" w:cs="Times New Roman"/>
          <w:sz w:val="26"/>
          <w:szCs w:val="26"/>
        </w:rPr>
        <w:t>, nguồn cung cầu</w:t>
      </w:r>
      <w:r w:rsidR="003711ED" w:rsidRPr="00733486">
        <w:rPr>
          <w:rFonts w:ascii="Times New Roman" w:hAnsi="Times New Roman" w:cs="Times New Roman"/>
          <w:sz w:val="26"/>
          <w:szCs w:val="26"/>
        </w:rPr>
        <w:t xml:space="preserve"> </w:t>
      </w:r>
      <w:r w:rsidR="00A87A5E" w:rsidRPr="00733486">
        <w:rPr>
          <w:rFonts w:ascii="Times New Roman" w:hAnsi="Times New Roman" w:cs="Times New Roman"/>
          <w:sz w:val="26"/>
          <w:szCs w:val="26"/>
        </w:rPr>
        <w:t>lao động</w:t>
      </w:r>
      <w:r w:rsidR="00713FFD" w:rsidRPr="00733486">
        <w:rPr>
          <w:rFonts w:ascii="Times New Roman" w:hAnsi="Times New Roman" w:cs="Times New Roman"/>
          <w:sz w:val="26"/>
          <w:szCs w:val="26"/>
        </w:rPr>
        <w:t>…</w:t>
      </w:r>
      <w:r w:rsidR="00703620" w:rsidRPr="00733486">
        <w:rPr>
          <w:rFonts w:ascii="Times New Roman" w:hAnsi="Times New Roman" w:cs="Times New Roman"/>
          <w:sz w:val="26"/>
          <w:szCs w:val="26"/>
        </w:rPr>
        <w:t xml:space="preserve"> khi xử lý số liệu khảo sát </w:t>
      </w:r>
      <w:r w:rsidR="00AE58A2" w:rsidRPr="00733486">
        <w:rPr>
          <w:rFonts w:ascii="Times New Roman" w:hAnsi="Times New Roman" w:cs="Times New Roman"/>
          <w:sz w:val="26"/>
          <w:szCs w:val="26"/>
        </w:rPr>
        <w:t>có tính đến</w:t>
      </w:r>
      <w:r w:rsidR="00703620" w:rsidRPr="00733486">
        <w:rPr>
          <w:rFonts w:ascii="Times New Roman" w:hAnsi="Times New Roman" w:cs="Times New Roman"/>
          <w:sz w:val="26"/>
          <w:szCs w:val="26"/>
        </w:rPr>
        <w:t xml:space="preserve"> các yếu tố nêu trên</w:t>
      </w:r>
      <w:r w:rsidR="00713FFD" w:rsidRPr="00733486">
        <w:rPr>
          <w:rFonts w:ascii="Times New Roman" w:hAnsi="Times New Roman" w:cs="Times New Roman"/>
          <w:sz w:val="26"/>
          <w:szCs w:val="26"/>
        </w:rPr>
        <w:t xml:space="preserve"> </w:t>
      </w:r>
      <w:r w:rsidR="00703620" w:rsidRPr="00733486">
        <w:rPr>
          <w:rFonts w:ascii="Times New Roman" w:hAnsi="Times New Roman" w:cs="Times New Roman"/>
          <w:sz w:val="26"/>
          <w:szCs w:val="26"/>
        </w:rPr>
        <w:t xml:space="preserve">và đảm bảo </w:t>
      </w:r>
      <w:r w:rsidR="00713FFD" w:rsidRPr="00733486">
        <w:rPr>
          <w:rFonts w:ascii="Times New Roman" w:hAnsi="Times New Roman" w:cs="Times New Roman"/>
          <w:sz w:val="26"/>
          <w:szCs w:val="26"/>
        </w:rPr>
        <w:t xml:space="preserve">đơn giá nhân công công bố </w:t>
      </w:r>
      <w:r w:rsidR="00703620" w:rsidRPr="00733486">
        <w:rPr>
          <w:rFonts w:ascii="Times New Roman" w:hAnsi="Times New Roman" w:cs="Times New Roman"/>
          <w:sz w:val="26"/>
          <w:szCs w:val="26"/>
        </w:rPr>
        <w:t xml:space="preserve">luôn </w:t>
      </w:r>
      <w:r w:rsidR="00713FFD" w:rsidRPr="00733486">
        <w:rPr>
          <w:rFonts w:ascii="Times New Roman" w:hAnsi="Times New Roman" w:cs="Times New Roman"/>
          <w:sz w:val="26"/>
          <w:szCs w:val="26"/>
        </w:rPr>
        <w:t xml:space="preserve">nằm trong khung đơn giá nhân công </w:t>
      </w:r>
      <w:r w:rsidR="00703620" w:rsidRPr="00733486">
        <w:rPr>
          <w:rFonts w:ascii="Times New Roman" w:hAnsi="Times New Roman" w:cs="Times New Roman"/>
          <w:sz w:val="26"/>
          <w:szCs w:val="26"/>
        </w:rPr>
        <w:t xml:space="preserve">do Bộ Xây dựng </w:t>
      </w:r>
      <w:r w:rsidR="00CE50BE">
        <w:rPr>
          <w:rFonts w:ascii="Times New Roman" w:hAnsi="Times New Roman" w:cs="Times New Roman"/>
          <w:sz w:val="26"/>
          <w:szCs w:val="26"/>
        </w:rPr>
        <w:t>quy định</w:t>
      </w:r>
      <w:r w:rsidR="00703620" w:rsidRPr="00733486">
        <w:rPr>
          <w:rFonts w:ascii="Times New Roman" w:hAnsi="Times New Roman" w:cs="Times New Roman"/>
          <w:sz w:val="26"/>
          <w:szCs w:val="26"/>
        </w:rPr>
        <w:t>.</w:t>
      </w:r>
    </w:p>
    <w:p w14:paraId="50C5D9F6" w14:textId="2A640DAD" w:rsidR="00D216D4" w:rsidRPr="00733486" w:rsidRDefault="00012008"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 xml:space="preserve">Theo số liệu của nhóm khảo sát do Viện Kinh tế xây dựng thực hiện </w:t>
      </w:r>
      <w:r w:rsidR="00AE58A2" w:rsidRPr="00733486">
        <w:rPr>
          <w:rFonts w:ascii="Times New Roman" w:hAnsi="Times New Roman" w:cs="Times New Roman"/>
          <w:sz w:val="26"/>
          <w:szCs w:val="26"/>
        </w:rPr>
        <w:t>tại</w:t>
      </w:r>
      <w:r w:rsidRPr="00733486">
        <w:rPr>
          <w:rFonts w:ascii="Times New Roman" w:hAnsi="Times New Roman" w:cs="Times New Roman"/>
          <w:sz w:val="26"/>
          <w:szCs w:val="26"/>
        </w:rPr>
        <w:t xml:space="preserve"> Quảng Ninh, Vĩnh Phúc, </w:t>
      </w:r>
      <w:r w:rsidR="00AE58A2" w:rsidRPr="00733486">
        <w:rPr>
          <w:rFonts w:ascii="Times New Roman" w:hAnsi="Times New Roman" w:cs="Times New Roman"/>
          <w:sz w:val="26"/>
          <w:szCs w:val="26"/>
        </w:rPr>
        <w:t>Bình Định</w:t>
      </w:r>
      <w:r w:rsidRPr="00733486">
        <w:rPr>
          <w:rFonts w:ascii="Times New Roman" w:hAnsi="Times New Roman" w:cs="Times New Roman"/>
          <w:sz w:val="26"/>
          <w:szCs w:val="26"/>
        </w:rPr>
        <w:t>…, giá nhân công thực tế khảo sát đều cao hơn giá nhân công đầu vào do địa phương công bố đang được sử dụng ở thời điểm hiện tại</w:t>
      </w:r>
      <w:r w:rsidR="00ED20D5" w:rsidRPr="00733486">
        <w:rPr>
          <w:rFonts w:ascii="Times New Roman" w:hAnsi="Times New Roman" w:cs="Times New Roman"/>
          <w:sz w:val="26"/>
          <w:szCs w:val="26"/>
        </w:rPr>
        <w:t xml:space="preserve"> từ 15%-30%. Ở một số địa phương phát triển mạnh các ngành nghề khác, </w:t>
      </w:r>
      <w:r w:rsidR="004F0399" w:rsidRPr="00733486">
        <w:rPr>
          <w:rFonts w:ascii="Times New Roman" w:hAnsi="Times New Roman" w:cs="Times New Roman"/>
          <w:sz w:val="26"/>
          <w:szCs w:val="26"/>
        </w:rPr>
        <w:t>đơn cử</w:t>
      </w:r>
      <w:r w:rsidR="00ED20D5" w:rsidRPr="00733486">
        <w:rPr>
          <w:rFonts w:ascii="Times New Roman" w:hAnsi="Times New Roman" w:cs="Times New Roman"/>
          <w:sz w:val="26"/>
          <w:szCs w:val="26"/>
        </w:rPr>
        <w:t xml:space="preserve"> như Gia Lai, người lao động chủ yếu làm các công việc liên quan đến nông nghiệp (trồng cây công nghiệp cao su, hồ tiêu, cà phê…), do những ngành nghề nay mang lại thu nhập tương đối cao, nên họ không mặn mà </w:t>
      </w:r>
      <w:r w:rsidR="004F0399" w:rsidRPr="00733486">
        <w:rPr>
          <w:rFonts w:ascii="Times New Roman" w:hAnsi="Times New Roman" w:cs="Times New Roman"/>
          <w:sz w:val="26"/>
          <w:szCs w:val="26"/>
        </w:rPr>
        <w:t>gì với</w:t>
      </w:r>
      <w:r w:rsidR="00ED20D5" w:rsidRPr="00733486">
        <w:rPr>
          <w:rFonts w:ascii="Times New Roman" w:hAnsi="Times New Roman" w:cs="Times New Roman"/>
          <w:sz w:val="26"/>
          <w:szCs w:val="26"/>
        </w:rPr>
        <w:t xml:space="preserve"> </w:t>
      </w:r>
      <w:r w:rsidR="004F0399" w:rsidRPr="00733486">
        <w:rPr>
          <w:rFonts w:ascii="Times New Roman" w:hAnsi="Times New Roman" w:cs="Times New Roman"/>
          <w:sz w:val="26"/>
          <w:szCs w:val="26"/>
        </w:rPr>
        <w:t>ngành</w:t>
      </w:r>
      <w:r w:rsidR="00ED20D5" w:rsidRPr="00733486">
        <w:rPr>
          <w:rFonts w:ascii="Times New Roman" w:hAnsi="Times New Roman" w:cs="Times New Roman"/>
          <w:sz w:val="26"/>
          <w:szCs w:val="26"/>
        </w:rPr>
        <w:t xml:space="preserve"> xây dựng</w:t>
      </w:r>
      <w:r w:rsidR="004F0399" w:rsidRPr="00733486">
        <w:rPr>
          <w:rFonts w:ascii="Times New Roman" w:hAnsi="Times New Roman" w:cs="Times New Roman"/>
          <w:sz w:val="26"/>
          <w:szCs w:val="26"/>
        </w:rPr>
        <w:t xml:space="preserve"> (vừa nặng nhọc, có thu nhập thấp hơn lại thiếu ổn định)</w:t>
      </w:r>
      <w:r w:rsidR="00ED20D5" w:rsidRPr="00733486">
        <w:rPr>
          <w:rFonts w:ascii="Times New Roman" w:hAnsi="Times New Roman" w:cs="Times New Roman"/>
          <w:sz w:val="26"/>
          <w:szCs w:val="26"/>
        </w:rPr>
        <w:t xml:space="preserve">. Thực tế nhân công xây dựng trên địa bàn luôn thiếu hụt, chủ yếu nguồn nhân lực đến từ các nơi khác, nên nhân công thực tế cao hơn khoảng </w:t>
      </w:r>
      <w:r w:rsidR="004F0399" w:rsidRPr="00733486">
        <w:rPr>
          <w:rFonts w:ascii="Times New Roman" w:hAnsi="Times New Roman" w:cs="Times New Roman"/>
          <w:sz w:val="26"/>
          <w:szCs w:val="26"/>
        </w:rPr>
        <w:t>25</w:t>
      </w:r>
      <w:r w:rsidR="00ED20D5" w:rsidRPr="00733486">
        <w:rPr>
          <w:rFonts w:ascii="Times New Roman" w:hAnsi="Times New Roman" w:cs="Times New Roman"/>
          <w:sz w:val="26"/>
          <w:szCs w:val="26"/>
        </w:rPr>
        <w:t>%</w:t>
      </w:r>
      <w:r w:rsidR="00565D65" w:rsidRPr="00733486">
        <w:rPr>
          <w:rFonts w:ascii="Times New Roman" w:hAnsi="Times New Roman" w:cs="Times New Roman"/>
          <w:sz w:val="26"/>
          <w:szCs w:val="26"/>
        </w:rPr>
        <w:t xml:space="preserve"> </w:t>
      </w:r>
      <w:r w:rsidR="00ED20D5" w:rsidRPr="00733486">
        <w:rPr>
          <w:rFonts w:ascii="Times New Roman" w:hAnsi="Times New Roman" w:cs="Times New Roman"/>
          <w:sz w:val="26"/>
          <w:szCs w:val="26"/>
        </w:rPr>
        <w:t>-</w:t>
      </w:r>
      <w:r w:rsidR="00565D65" w:rsidRPr="00733486">
        <w:rPr>
          <w:rFonts w:ascii="Times New Roman" w:hAnsi="Times New Roman" w:cs="Times New Roman"/>
          <w:sz w:val="26"/>
          <w:szCs w:val="26"/>
        </w:rPr>
        <w:t xml:space="preserve"> </w:t>
      </w:r>
      <w:r w:rsidR="00ED20D5" w:rsidRPr="00733486">
        <w:rPr>
          <w:rFonts w:ascii="Times New Roman" w:hAnsi="Times New Roman" w:cs="Times New Roman"/>
          <w:sz w:val="26"/>
          <w:szCs w:val="26"/>
        </w:rPr>
        <w:t>4</w:t>
      </w:r>
      <w:r w:rsidR="00565D65" w:rsidRPr="00733486">
        <w:rPr>
          <w:rFonts w:ascii="Times New Roman" w:hAnsi="Times New Roman" w:cs="Times New Roman"/>
          <w:sz w:val="26"/>
          <w:szCs w:val="26"/>
        </w:rPr>
        <w:t>0</w:t>
      </w:r>
      <w:r w:rsidR="00ED20D5" w:rsidRPr="00733486">
        <w:rPr>
          <w:rFonts w:ascii="Times New Roman" w:hAnsi="Times New Roman" w:cs="Times New Roman"/>
          <w:sz w:val="26"/>
          <w:szCs w:val="26"/>
        </w:rPr>
        <w:t>% so với nhân công do địa phương công bố.</w:t>
      </w:r>
    </w:p>
    <w:p w14:paraId="0C35671D" w14:textId="31C514BF" w:rsidR="00D255A9" w:rsidRPr="00733486" w:rsidRDefault="00D255A9"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Quá trình đi khảo sát thực tế ở các địa phương</w:t>
      </w:r>
      <w:r w:rsidR="004F0399" w:rsidRPr="00733486">
        <w:rPr>
          <w:rFonts w:ascii="Times New Roman" w:hAnsi="Times New Roman" w:cs="Times New Roman"/>
          <w:sz w:val="26"/>
          <w:szCs w:val="26"/>
        </w:rPr>
        <w:t xml:space="preserve"> thời gian qua</w:t>
      </w:r>
      <w:r w:rsidRPr="00733486">
        <w:rPr>
          <w:rFonts w:ascii="Times New Roman" w:hAnsi="Times New Roman" w:cs="Times New Roman"/>
          <w:sz w:val="26"/>
          <w:szCs w:val="26"/>
        </w:rPr>
        <w:t xml:space="preserve">, nhóm khảo sát luôn ghi nhận những phản ánh, đề xuất của </w:t>
      </w:r>
      <w:r w:rsidR="00583110" w:rsidRPr="00733486">
        <w:rPr>
          <w:rFonts w:ascii="Times New Roman" w:hAnsi="Times New Roman" w:cs="Times New Roman"/>
          <w:sz w:val="26"/>
          <w:szCs w:val="26"/>
        </w:rPr>
        <w:t xml:space="preserve">địa phương </w:t>
      </w:r>
      <w:r w:rsidRPr="00733486">
        <w:rPr>
          <w:rFonts w:ascii="Times New Roman" w:hAnsi="Times New Roman" w:cs="Times New Roman"/>
          <w:sz w:val="26"/>
          <w:szCs w:val="26"/>
        </w:rPr>
        <w:t xml:space="preserve">về khung đơn giá nhân công do Bộ </w:t>
      </w:r>
      <w:r w:rsidR="002D62A5" w:rsidRPr="00733486">
        <w:rPr>
          <w:rFonts w:ascii="Times New Roman" w:hAnsi="Times New Roman" w:cs="Times New Roman"/>
          <w:sz w:val="26"/>
          <w:szCs w:val="26"/>
        </w:rPr>
        <w:t>Xâ</w:t>
      </w:r>
      <w:r w:rsidRPr="00733486">
        <w:rPr>
          <w:rFonts w:ascii="Times New Roman" w:hAnsi="Times New Roman" w:cs="Times New Roman"/>
          <w:sz w:val="26"/>
          <w:szCs w:val="26"/>
        </w:rPr>
        <w:t>y dựng công bố</w:t>
      </w:r>
      <w:r w:rsidR="00432774" w:rsidRPr="00733486">
        <w:rPr>
          <w:rFonts w:ascii="Times New Roman" w:hAnsi="Times New Roman" w:cs="Times New Roman"/>
          <w:sz w:val="26"/>
          <w:szCs w:val="26"/>
        </w:rPr>
        <w:t xml:space="preserve">. Đa số các </w:t>
      </w:r>
      <w:r w:rsidR="005927C6">
        <w:rPr>
          <w:rFonts w:ascii="Times New Roman" w:hAnsi="Times New Roman" w:cs="Times New Roman"/>
          <w:sz w:val="26"/>
          <w:szCs w:val="26"/>
        </w:rPr>
        <w:t>doanh nghiệp</w:t>
      </w:r>
      <w:r w:rsidR="00583110" w:rsidRPr="00733486">
        <w:rPr>
          <w:rFonts w:ascii="Times New Roman" w:hAnsi="Times New Roman" w:cs="Times New Roman"/>
          <w:sz w:val="26"/>
          <w:szCs w:val="26"/>
        </w:rPr>
        <w:t xml:space="preserve"> và người lao động </w:t>
      </w:r>
      <w:r w:rsidR="00432774" w:rsidRPr="00733486">
        <w:rPr>
          <w:rFonts w:ascii="Times New Roman" w:hAnsi="Times New Roman" w:cs="Times New Roman"/>
          <w:sz w:val="26"/>
          <w:szCs w:val="26"/>
        </w:rPr>
        <w:t xml:space="preserve">mong muốn Bộ Xây dựng điều chỉnh tăng mức tối đa của khung đơn giá nhân công cho phù hợp với </w:t>
      </w:r>
      <w:r w:rsidR="00583110" w:rsidRPr="00733486">
        <w:rPr>
          <w:rFonts w:ascii="Times New Roman" w:hAnsi="Times New Roman" w:cs="Times New Roman"/>
          <w:sz w:val="26"/>
          <w:szCs w:val="26"/>
        </w:rPr>
        <w:t xml:space="preserve">biến động của nhân </w:t>
      </w:r>
      <w:r w:rsidR="00583110" w:rsidRPr="00733486">
        <w:rPr>
          <w:rFonts w:ascii="Times New Roman" w:hAnsi="Times New Roman" w:cs="Times New Roman"/>
          <w:sz w:val="26"/>
          <w:szCs w:val="26"/>
        </w:rPr>
        <w:lastRenderedPageBreak/>
        <w:t>công trên thị trường cũng như phù hợp với lộ trình tăng lương tối thiểu vùng của Chính phủ.</w:t>
      </w:r>
    </w:p>
    <w:p w14:paraId="1A1FC725" w14:textId="5B09DE23" w:rsidR="004F0399" w:rsidRPr="00733486" w:rsidRDefault="004F0399"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 xml:space="preserve">Như đã phân tích nêu trên, hiện tại có khoảng 30% địa phương công bố đơn giá nhân công chỉ cao hơn không quá 15% mức đơn giá nhân công tối thiểu của khung đơn giá nhân công. </w:t>
      </w:r>
      <w:r w:rsidR="003C5454">
        <w:rPr>
          <w:rFonts w:ascii="Times New Roman" w:hAnsi="Times New Roman" w:cs="Times New Roman"/>
          <w:sz w:val="26"/>
          <w:szCs w:val="26"/>
        </w:rPr>
        <w:t>Tính toán</w:t>
      </w:r>
      <w:r w:rsidR="000E2FEB" w:rsidRPr="00733486">
        <w:rPr>
          <w:rFonts w:ascii="Times New Roman" w:hAnsi="Times New Roman" w:cs="Times New Roman"/>
          <w:sz w:val="26"/>
          <w:szCs w:val="26"/>
        </w:rPr>
        <w:t xml:space="preserve"> cho thấy, m</w:t>
      </w:r>
      <w:r w:rsidRPr="00733486">
        <w:rPr>
          <w:rFonts w:ascii="Times New Roman" w:hAnsi="Times New Roman" w:cs="Times New Roman"/>
          <w:sz w:val="26"/>
          <w:szCs w:val="26"/>
        </w:rPr>
        <w:t>ức tối thiểu</w:t>
      </w:r>
      <w:r w:rsidR="000E2FEB" w:rsidRPr="00733486">
        <w:rPr>
          <w:rFonts w:ascii="Times New Roman" w:hAnsi="Times New Roman" w:cs="Times New Roman"/>
          <w:sz w:val="26"/>
          <w:szCs w:val="26"/>
        </w:rPr>
        <w:t xml:space="preserve"> của khung đơn giá nhân công theo Thông tư 13/2019/TT-BXD không có sự điều chỉnh so với mức lương cơ sở của Thông tư 01/2015/TT-BXD</w:t>
      </w:r>
      <w:r w:rsidR="003C5454">
        <w:rPr>
          <w:rFonts w:ascii="Times New Roman" w:hAnsi="Times New Roman" w:cs="Times New Roman"/>
          <w:sz w:val="26"/>
          <w:szCs w:val="26"/>
        </w:rPr>
        <w:t xml:space="preserve"> được ban hành từ năm 2015</w:t>
      </w:r>
      <w:r w:rsidR="000E2FEB" w:rsidRPr="00733486">
        <w:rPr>
          <w:rFonts w:ascii="Times New Roman" w:hAnsi="Times New Roman" w:cs="Times New Roman"/>
          <w:sz w:val="26"/>
          <w:szCs w:val="26"/>
        </w:rPr>
        <w:t>, điều này là không còn phù hợp.</w:t>
      </w:r>
    </w:p>
    <w:p w14:paraId="217C7E3B" w14:textId="0A678180" w:rsidR="000E2FEB" w:rsidRDefault="000E2FEB"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 xml:space="preserve">Mức tối đa của khung đơn giá nhân công đã được </w:t>
      </w:r>
      <w:r w:rsidR="00EC51B8" w:rsidRPr="00733486">
        <w:rPr>
          <w:rFonts w:ascii="Times New Roman" w:hAnsi="Times New Roman" w:cs="Times New Roman"/>
          <w:sz w:val="26"/>
          <w:szCs w:val="26"/>
        </w:rPr>
        <w:t>điều chỉnh tăng</w:t>
      </w:r>
      <w:r w:rsidRPr="00733486">
        <w:rPr>
          <w:rFonts w:ascii="Times New Roman" w:hAnsi="Times New Roman" w:cs="Times New Roman"/>
          <w:sz w:val="26"/>
          <w:szCs w:val="26"/>
        </w:rPr>
        <w:t xml:space="preserve"> qua các thời kỳ Thông tư 01/2015</w:t>
      </w:r>
      <w:r w:rsidR="00565D65" w:rsidRPr="00733486">
        <w:rPr>
          <w:rFonts w:ascii="Times New Roman" w:hAnsi="Times New Roman" w:cs="Times New Roman"/>
          <w:sz w:val="26"/>
          <w:szCs w:val="26"/>
        </w:rPr>
        <w:t>/TT-BXD</w:t>
      </w:r>
      <w:r w:rsidRPr="00733486">
        <w:rPr>
          <w:rFonts w:ascii="Times New Roman" w:hAnsi="Times New Roman" w:cs="Times New Roman"/>
          <w:sz w:val="26"/>
          <w:szCs w:val="26"/>
        </w:rPr>
        <w:t>, Thông tư 15/</w:t>
      </w:r>
      <w:r w:rsidR="00EC51B8" w:rsidRPr="00733486">
        <w:rPr>
          <w:rFonts w:ascii="Times New Roman" w:hAnsi="Times New Roman" w:cs="Times New Roman"/>
          <w:sz w:val="26"/>
          <w:szCs w:val="26"/>
        </w:rPr>
        <w:t>2019</w:t>
      </w:r>
      <w:r w:rsidR="00565D65" w:rsidRPr="00733486">
        <w:rPr>
          <w:rFonts w:ascii="Times New Roman" w:hAnsi="Times New Roman" w:cs="Times New Roman"/>
          <w:sz w:val="26"/>
          <w:szCs w:val="26"/>
        </w:rPr>
        <w:t>/TT-BXD</w:t>
      </w:r>
      <w:r w:rsidR="005927C6">
        <w:rPr>
          <w:rFonts w:ascii="Times New Roman" w:hAnsi="Times New Roman" w:cs="Times New Roman"/>
          <w:sz w:val="26"/>
          <w:szCs w:val="26"/>
        </w:rPr>
        <w:t>.</w:t>
      </w:r>
      <w:r w:rsidR="00C22310">
        <w:rPr>
          <w:rFonts w:ascii="Times New Roman" w:hAnsi="Times New Roman" w:cs="Times New Roman"/>
          <w:sz w:val="26"/>
          <w:szCs w:val="26"/>
        </w:rPr>
        <w:t xml:space="preserve"> </w:t>
      </w:r>
      <w:r w:rsidR="005927C6">
        <w:rPr>
          <w:rFonts w:ascii="Times New Roman" w:hAnsi="Times New Roman" w:cs="Times New Roman"/>
          <w:sz w:val="26"/>
          <w:szCs w:val="26"/>
        </w:rPr>
        <w:t>S</w:t>
      </w:r>
      <w:r w:rsidR="00C22310">
        <w:rPr>
          <w:rFonts w:ascii="Times New Roman" w:hAnsi="Times New Roman" w:cs="Times New Roman"/>
          <w:sz w:val="26"/>
          <w:szCs w:val="26"/>
        </w:rPr>
        <w:t xml:space="preserve">o với </w:t>
      </w:r>
      <w:r w:rsidR="00C22310" w:rsidRPr="00EE371A">
        <w:rPr>
          <w:rFonts w:ascii="Times New Roman" w:hAnsi="Times New Roman" w:cs="Times New Roman"/>
          <w:sz w:val="28"/>
          <w:szCs w:val="28"/>
        </w:rPr>
        <w:t>Thông tư số 01/2015/TT-BXD</w:t>
      </w:r>
      <w:r w:rsidR="00C22310">
        <w:rPr>
          <w:rFonts w:ascii="Times New Roman" w:hAnsi="Times New Roman" w:cs="Times New Roman"/>
          <w:sz w:val="28"/>
          <w:szCs w:val="28"/>
        </w:rPr>
        <w:t xml:space="preserve"> </w:t>
      </w:r>
      <w:r w:rsidR="00BD3E07">
        <w:rPr>
          <w:rFonts w:ascii="Times New Roman" w:hAnsi="Times New Roman" w:cs="Times New Roman"/>
          <w:sz w:val="28"/>
          <w:szCs w:val="28"/>
        </w:rPr>
        <w:t>đ</w:t>
      </w:r>
      <w:r w:rsidR="00C22310">
        <w:rPr>
          <w:rFonts w:ascii="Times New Roman" w:hAnsi="Times New Roman" w:cs="Times New Roman"/>
          <w:sz w:val="28"/>
          <w:szCs w:val="28"/>
        </w:rPr>
        <w:t>ã tăng khoảng 50%</w:t>
      </w:r>
      <w:r w:rsidR="00EC51B8" w:rsidRPr="00733486">
        <w:rPr>
          <w:rFonts w:ascii="Times New Roman" w:hAnsi="Times New Roman" w:cs="Times New Roman"/>
          <w:sz w:val="26"/>
          <w:szCs w:val="26"/>
        </w:rPr>
        <w:t xml:space="preserve"> và đã </w:t>
      </w:r>
      <w:r w:rsidR="007B0D67" w:rsidRPr="00733486">
        <w:rPr>
          <w:rFonts w:ascii="Times New Roman" w:hAnsi="Times New Roman" w:cs="Times New Roman"/>
          <w:sz w:val="26"/>
          <w:szCs w:val="26"/>
        </w:rPr>
        <w:t>tiến gần</w:t>
      </w:r>
      <w:r w:rsidR="00EC51B8" w:rsidRPr="00733486">
        <w:rPr>
          <w:rFonts w:ascii="Times New Roman" w:hAnsi="Times New Roman" w:cs="Times New Roman"/>
          <w:sz w:val="26"/>
          <w:szCs w:val="26"/>
        </w:rPr>
        <w:t xml:space="preserve"> </w:t>
      </w:r>
      <w:r w:rsidR="00565D65" w:rsidRPr="00733486">
        <w:rPr>
          <w:rFonts w:ascii="Times New Roman" w:hAnsi="Times New Roman" w:cs="Times New Roman"/>
          <w:sz w:val="26"/>
          <w:szCs w:val="26"/>
        </w:rPr>
        <w:t>đến</w:t>
      </w:r>
      <w:r w:rsidR="00EC51B8" w:rsidRPr="00733486">
        <w:rPr>
          <w:rFonts w:ascii="Times New Roman" w:hAnsi="Times New Roman" w:cs="Times New Roman"/>
          <w:sz w:val="26"/>
          <w:szCs w:val="26"/>
        </w:rPr>
        <w:t xml:space="preserve"> thực tế thị trường, tuy nhiên</w:t>
      </w:r>
      <w:r w:rsidR="007B0D67" w:rsidRPr="00733486">
        <w:rPr>
          <w:rFonts w:ascii="Times New Roman" w:hAnsi="Times New Roman" w:cs="Times New Roman"/>
          <w:sz w:val="26"/>
          <w:szCs w:val="26"/>
        </w:rPr>
        <w:t xml:space="preserve"> vẫn còn chưa theo kịp với sự biến động của thị trường nhân công và sự thay đổi của chế độ tiền lương.</w:t>
      </w:r>
    </w:p>
    <w:p w14:paraId="04607A7B" w14:textId="23F52004" w:rsidR="00D3212C" w:rsidRPr="00733486" w:rsidRDefault="000A596E"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 xml:space="preserve">Qua theo dõi, thống kê số liệu các công trình dự án, thì </w:t>
      </w:r>
      <w:r w:rsidR="00561FA6" w:rsidRPr="00733486">
        <w:rPr>
          <w:rFonts w:ascii="Times New Roman" w:hAnsi="Times New Roman" w:cs="Times New Roman"/>
          <w:sz w:val="26"/>
          <w:szCs w:val="26"/>
        </w:rPr>
        <w:t xml:space="preserve">tỷ trọng </w:t>
      </w:r>
      <w:r w:rsidRPr="00733486">
        <w:rPr>
          <w:rFonts w:ascii="Times New Roman" w:hAnsi="Times New Roman" w:cs="Times New Roman"/>
          <w:sz w:val="26"/>
          <w:szCs w:val="26"/>
        </w:rPr>
        <w:t xml:space="preserve">chi phí nhân công trong chi phí xây dựng trong dự toán </w:t>
      </w:r>
      <w:r w:rsidR="00561FA6" w:rsidRPr="00733486">
        <w:rPr>
          <w:rFonts w:ascii="Times New Roman" w:hAnsi="Times New Roman" w:cs="Times New Roman"/>
          <w:sz w:val="26"/>
          <w:szCs w:val="26"/>
        </w:rPr>
        <w:t xml:space="preserve">XDCT </w:t>
      </w:r>
      <w:r w:rsidRPr="00733486">
        <w:rPr>
          <w:rFonts w:ascii="Times New Roman" w:hAnsi="Times New Roman" w:cs="Times New Roman"/>
          <w:sz w:val="26"/>
          <w:szCs w:val="26"/>
        </w:rPr>
        <w:t>chiếm khoảng từ 18,77%-26,1%</w:t>
      </w:r>
      <w:r w:rsidR="00561FA6" w:rsidRPr="00733486">
        <w:rPr>
          <w:rFonts w:ascii="Times New Roman" w:hAnsi="Times New Roman" w:cs="Times New Roman"/>
          <w:sz w:val="26"/>
          <w:szCs w:val="26"/>
        </w:rPr>
        <w:t xml:space="preserve"> tùy thuộc loại hình công trình như bảng sau:</w:t>
      </w:r>
    </w:p>
    <w:p w14:paraId="5B9240E9" w14:textId="175AC8CE" w:rsidR="00561FA6" w:rsidRPr="008F04B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b/>
          <w:spacing w:val="2"/>
          <w:sz w:val="26"/>
          <w:szCs w:val="26"/>
        </w:rPr>
        <w:t xml:space="preserve">Bảng 3. </w:t>
      </w:r>
      <w:r w:rsidRPr="00733486">
        <w:rPr>
          <w:b/>
          <w:bCs/>
          <w:sz w:val="26"/>
          <w:szCs w:val="26"/>
        </w:rPr>
        <w:t xml:space="preserve">Tỷ trọng chi phí nhân công trong chi phí xây dựng trong dự toán XDCT </w:t>
      </w:r>
      <w:r w:rsidRPr="00733486">
        <w:rPr>
          <w:i/>
          <w:iCs/>
          <w:spacing w:val="-2"/>
          <w:sz w:val="26"/>
          <w:szCs w:val="26"/>
          <w:vertAlign w:val="superscript"/>
          <w:lang w:val="de-DE"/>
        </w:rPr>
        <w:t>[</w:t>
      </w:r>
      <w:r w:rsidRPr="00733486">
        <w:rPr>
          <w:rStyle w:val="FootnoteReference"/>
          <w:i/>
          <w:iCs/>
          <w:sz w:val="26"/>
          <w:szCs w:val="26"/>
          <w:vertAlign w:val="superscript"/>
          <w:lang w:val="pt-BR"/>
        </w:rPr>
        <w:footnoteReference w:id="12"/>
      </w:r>
      <w:r w:rsidRPr="00733486">
        <w:rPr>
          <w:i/>
          <w:iCs/>
          <w:sz w:val="26"/>
          <w:szCs w:val="26"/>
          <w:vertAlign w:val="superscript"/>
          <w:lang w:val="pt-BR"/>
        </w:rPr>
        <w:t>]</w:t>
      </w:r>
    </w:p>
    <w:tbl>
      <w:tblPr>
        <w:tblW w:w="5000" w:type="pct"/>
        <w:jc w:val="center"/>
        <w:tblLook w:val="04A0" w:firstRow="1" w:lastRow="0" w:firstColumn="1" w:lastColumn="0" w:noHBand="0" w:noVBand="1"/>
      </w:tblPr>
      <w:tblGrid>
        <w:gridCol w:w="733"/>
        <w:gridCol w:w="4397"/>
        <w:gridCol w:w="13"/>
        <w:gridCol w:w="4145"/>
      </w:tblGrid>
      <w:tr w:rsidR="00561FA6" w:rsidRPr="00733486" w14:paraId="6D727B34" w14:textId="77777777" w:rsidTr="00BD3E07">
        <w:trPr>
          <w:cantSplit/>
          <w:trHeight w:val="794"/>
          <w:jc w:val="center"/>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113C6" w14:textId="77777777" w:rsidR="00561FA6" w:rsidRPr="00CE50BE" w:rsidRDefault="00561FA6" w:rsidP="00BD3E07">
            <w:pPr>
              <w:pStyle w:val="body-text"/>
              <w:shd w:val="clear" w:color="auto" w:fill="FFFFFF"/>
              <w:spacing w:before="0" w:beforeAutospacing="0" w:after="0" w:afterAutospacing="0" w:line="336" w:lineRule="auto"/>
              <w:jc w:val="center"/>
              <w:rPr>
                <w:b/>
                <w:bCs/>
                <w:spacing w:val="2"/>
              </w:rPr>
            </w:pPr>
            <w:r w:rsidRPr="00CE50BE">
              <w:rPr>
                <w:b/>
                <w:bCs/>
                <w:spacing w:val="2"/>
              </w:rPr>
              <w:t>STT</w:t>
            </w:r>
          </w:p>
        </w:tc>
        <w:tc>
          <w:tcPr>
            <w:tcW w:w="2836" w:type="pct"/>
            <w:tcBorders>
              <w:top w:val="single" w:sz="4" w:space="0" w:color="auto"/>
              <w:left w:val="nil"/>
              <w:bottom w:val="single" w:sz="4" w:space="0" w:color="auto"/>
              <w:right w:val="single" w:sz="4" w:space="0" w:color="auto"/>
            </w:tcBorders>
            <w:vAlign w:val="center"/>
          </w:tcPr>
          <w:p w14:paraId="33F04056" w14:textId="57E3A2F3" w:rsidR="00561FA6" w:rsidRPr="00CE50BE" w:rsidRDefault="00561FA6" w:rsidP="00BD3E07">
            <w:pPr>
              <w:pStyle w:val="body-text"/>
              <w:shd w:val="clear" w:color="auto" w:fill="FFFFFF"/>
              <w:spacing w:before="0" w:beforeAutospacing="0" w:after="0" w:afterAutospacing="0" w:line="336" w:lineRule="auto"/>
              <w:ind w:hanging="104"/>
              <w:jc w:val="center"/>
              <w:rPr>
                <w:b/>
                <w:bCs/>
                <w:spacing w:val="2"/>
              </w:rPr>
            </w:pPr>
            <w:r w:rsidRPr="00CE50BE">
              <w:rPr>
                <w:b/>
                <w:bCs/>
                <w:spacing w:val="2"/>
              </w:rPr>
              <w:t>Loại hình công trình</w:t>
            </w:r>
          </w:p>
        </w:tc>
        <w:tc>
          <w:tcPr>
            <w:tcW w:w="16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0FFEE" w14:textId="08F1A364" w:rsidR="00561FA6" w:rsidRPr="00CE50BE" w:rsidRDefault="00561FA6" w:rsidP="00BD3E07">
            <w:pPr>
              <w:pStyle w:val="body-text"/>
              <w:shd w:val="clear" w:color="auto" w:fill="FFFFFF"/>
              <w:spacing w:before="0" w:beforeAutospacing="0" w:after="0" w:afterAutospacing="0" w:line="336" w:lineRule="auto"/>
              <w:jc w:val="center"/>
              <w:rPr>
                <w:b/>
                <w:bCs/>
                <w:spacing w:val="2"/>
              </w:rPr>
            </w:pPr>
            <w:r w:rsidRPr="00CE50BE">
              <w:rPr>
                <w:b/>
                <w:bCs/>
                <w:spacing w:val="2"/>
              </w:rPr>
              <w:t>Tỷ trọng chi phí NC trong CPXD (%)</w:t>
            </w:r>
          </w:p>
        </w:tc>
      </w:tr>
      <w:tr w:rsidR="00561FA6" w:rsidRPr="00733486" w14:paraId="36EAB6B0" w14:textId="77777777" w:rsidTr="00BD3E07">
        <w:trPr>
          <w:cantSplit/>
          <w:trHeight w:val="510"/>
          <w:jc w:val="center"/>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D7CB7" w14:textId="77777777"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1</w:t>
            </w:r>
          </w:p>
        </w:tc>
        <w:tc>
          <w:tcPr>
            <w:tcW w:w="2836" w:type="pct"/>
            <w:tcBorders>
              <w:top w:val="single" w:sz="4" w:space="0" w:color="auto"/>
              <w:left w:val="nil"/>
              <w:bottom w:val="single" w:sz="4" w:space="0" w:color="auto"/>
              <w:right w:val="single" w:sz="4" w:space="0" w:color="auto"/>
            </w:tcBorders>
            <w:vAlign w:val="center"/>
          </w:tcPr>
          <w:p w14:paraId="40D65804" w14:textId="491EE501" w:rsidR="00561FA6" w:rsidRPr="00733486" w:rsidRDefault="00561FA6"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Công trình dân dụng</w:t>
            </w:r>
          </w:p>
        </w:tc>
        <w:tc>
          <w:tcPr>
            <w:tcW w:w="16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FB5BA1" w14:textId="6A59707A"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23,32</w:t>
            </w:r>
          </w:p>
        </w:tc>
      </w:tr>
      <w:tr w:rsidR="00561FA6" w:rsidRPr="00733486" w14:paraId="1ACBF548" w14:textId="77777777" w:rsidTr="00BD3E07">
        <w:trPr>
          <w:cantSplit/>
          <w:trHeight w:val="510"/>
          <w:jc w:val="center"/>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518E" w14:textId="77777777"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w:t>
            </w:r>
          </w:p>
        </w:tc>
        <w:tc>
          <w:tcPr>
            <w:tcW w:w="2836" w:type="pct"/>
            <w:tcBorders>
              <w:top w:val="single" w:sz="4" w:space="0" w:color="auto"/>
              <w:left w:val="nil"/>
              <w:bottom w:val="single" w:sz="4" w:space="0" w:color="auto"/>
              <w:right w:val="single" w:sz="4" w:space="0" w:color="auto"/>
            </w:tcBorders>
            <w:vAlign w:val="center"/>
          </w:tcPr>
          <w:p w14:paraId="7A98A9B2" w14:textId="51EF5ADB" w:rsidR="00561FA6" w:rsidRPr="00733486" w:rsidRDefault="00561FA6"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Công trình công nghiệp</w:t>
            </w:r>
          </w:p>
        </w:tc>
        <w:tc>
          <w:tcPr>
            <w:tcW w:w="16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B30E32" w14:textId="40BF2198"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22,93</w:t>
            </w:r>
          </w:p>
        </w:tc>
      </w:tr>
      <w:tr w:rsidR="00561FA6" w:rsidRPr="00733486" w14:paraId="114D8DB3" w14:textId="77777777" w:rsidTr="00BD3E07">
        <w:trPr>
          <w:cantSplit/>
          <w:trHeight w:val="510"/>
          <w:jc w:val="center"/>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7EC9" w14:textId="77777777"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3</w:t>
            </w:r>
          </w:p>
        </w:tc>
        <w:tc>
          <w:tcPr>
            <w:tcW w:w="2836" w:type="pct"/>
            <w:tcBorders>
              <w:top w:val="single" w:sz="4" w:space="0" w:color="auto"/>
              <w:left w:val="nil"/>
              <w:bottom w:val="single" w:sz="4" w:space="0" w:color="auto"/>
              <w:right w:val="single" w:sz="4" w:space="0" w:color="auto"/>
            </w:tcBorders>
            <w:vAlign w:val="center"/>
          </w:tcPr>
          <w:p w14:paraId="58459E43" w14:textId="72A001C9" w:rsidR="00561FA6" w:rsidRPr="00733486" w:rsidRDefault="00561FA6"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Công trình hạ tầng kỹ thuật</w:t>
            </w:r>
          </w:p>
        </w:tc>
        <w:tc>
          <w:tcPr>
            <w:tcW w:w="16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D567DB" w14:textId="5E0BF803"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26,1</w:t>
            </w:r>
          </w:p>
        </w:tc>
      </w:tr>
      <w:tr w:rsidR="00561FA6" w:rsidRPr="00733486" w14:paraId="56753902" w14:textId="77777777" w:rsidTr="00BD3E07">
        <w:trPr>
          <w:cantSplit/>
          <w:trHeight w:val="510"/>
          <w:jc w:val="center"/>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1C5CC" w14:textId="77777777"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4</w:t>
            </w:r>
          </w:p>
        </w:tc>
        <w:tc>
          <w:tcPr>
            <w:tcW w:w="2836" w:type="pct"/>
            <w:tcBorders>
              <w:top w:val="single" w:sz="4" w:space="0" w:color="auto"/>
              <w:left w:val="nil"/>
              <w:bottom w:val="single" w:sz="4" w:space="0" w:color="auto"/>
              <w:right w:val="single" w:sz="4" w:space="0" w:color="auto"/>
            </w:tcBorders>
            <w:vAlign w:val="center"/>
          </w:tcPr>
          <w:p w14:paraId="614DFEAC" w14:textId="106E3796" w:rsidR="00561FA6" w:rsidRPr="00733486" w:rsidRDefault="00561FA6"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Công trình giao thông</w:t>
            </w:r>
          </w:p>
        </w:tc>
        <w:tc>
          <w:tcPr>
            <w:tcW w:w="16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2FE4FA" w14:textId="393501BE"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18,77</w:t>
            </w:r>
          </w:p>
        </w:tc>
      </w:tr>
      <w:tr w:rsidR="00561FA6" w:rsidRPr="00733486" w14:paraId="7B578698" w14:textId="77777777" w:rsidTr="00BD3E07">
        <w:trPr>
          <w:cantSplit/>
          <w:trHeight w:val="339"/>
          <w:jc w:val="center"/>
        </w:trPr>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8EF92" w14:textId="77777777"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5</w:t>
            </w:r>
          </w:p>
        </w:tc>
        <w:tc>
          <w:tcPr>
            <w:tcW w:w="2836" w:type="pct"/>
            <w:tcBorders>
              <w:top w:val="single" w:sz="4" w:space="0" w:color="auto"/>
              <w:left w:val="nil"/>
              <w:bottom w:val="single" w:sz="4" w:space="0" w:color="auto"/>
              <w:right w:val="single" w:sz="4" w:space="0" w:color="auto"/>
            </w:tcBorders>
            <w:vAlign w:val="center"/>
          </w:tcPr>
          <w:p w14:paraId="59AB98D1" w14:textId="6442C2E5" w:rsidR="00561FA6" w:rsidRPr="00733486" w:rsidRDefault="00561FA6"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Công trình nông nghiệp và phát triển nông thôn</w:t>
            </w:r>
          </w:p>
        </w:tc>
        <w:tc>
          <w:tcPr>
            <w:tcW w:w="16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126F88" w14:textId="70934F11"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25,64</w:t>
            </w:r>
          </w:p>
        </w:tc>
      </w:tr>
      <w:tr w:rsidR="00561FA6" w:rsidRPr="00733486" w14:paraId="0D25359E" w14:textId="77777777" w:rsidTr="00BD3E07">
        <w:trPr>
          <w:cantSplit/>
          <w:trHeight w:val="339"/>
          <w:jc w:val="center"/>
        </w:trPr>
        <w:tc>
          <w:tcPr>
            <w:tcW w:w="33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9FB2B9" w14:textId="20A6B5A7" w:rsidR="00561FA6" w:rsidRPr="00733486" w:rsidRDefault="00561FA6" w:rsidP="00BD3E07">
            <w:pPr>
              <w:pStyle w:val="body-text"/>
              <w:shd w:val="clear" w:color="auto" w:fill="FFFFFF"/>
              <w:spacing w:before="0" w:beforeAutospacing="0" w:after="0" w:afterAutospacing="0" w:line="336" w:lineRule="auto"/>
              <w:jc w:val="center"/>
              <w:rPr>
                <w:b/>
                <w:bCs/>
                <w:spacing w:val="2"/>
                <w:sz w:val="26"/>
                <w:szCs w:val="26"/>
              </w:rPr>
            </w:pPr>
            <w:r w:rsidRPr="00733486">
              <w:rPr>
                <w:b/>
                <w:bCs/>
                <w:spacing w:val="2"/>
                <w:sz w:val="26"/>
                <w:szCs w:val="26"/>
              </w:rPr>
              <w:t>Tính bình quân các loại hình công trình</w:t>
            </w:r>
          </w:p>
        </w:tc>
        <w:tc>
          <w:tcPr>
            <w:tcW w:w="16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829A5" w14:textId="769F72A5" w:rsidR="00561FA6" w:rsidRPr="00733486" w:rsidRDefault="00561FA6"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23,35</w:t>
            </w:r>
          </w:p>
        </w:tc>
      </w:tr>
    </w:tbl>
    <w:p w14:paraId="28D2B49A" w14:textId="77777777" w:rsidR="00C22310" w:rsidRDefault="00C22310" w:rsidP="00BD3E07">
      <w:pPr>
        <w:spacing w:after="0" w:line="336" w:lineRule="auto"/>
        <w:ind w:right="-1" w:firstLine="567"/>
        <w:rPr>
          <w:rFonts w:ascii="Times New Roman" w:hAnsi="Times New Roman" w:cs="Times New Roman"/>
          <w:sz w:val="26"/>
          <w:szCs w:val="26"/>
        </w:rPr>
      </w:pPr>
    </w:p>
    <w:p w14:paraId="2894D690" w14:textId="5E922CEF" w:rsidR="00D05F03" w:rsidRPr="00733486" w:rsidRDefault="00D05F03"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Giả thiết nếu điều chỉnh mức tối đa của khung đơn giá nhân công (các chi phí máy thi công, vật liệu cố định) là cơ sở để các địa phương công bố đơn giá nhân công, thì chi phí xây dựng trong dự toán XDCT sẽ thay đổi như bảng sau:</w:t>
      </w:r>
    </w:p>
    <w:p w14:paraId="00EDE351" w14:textId="77777777" w:rsidR="005927C6" w:rsidRDefault="005927C6" w:rsidP="00BD3E07">
      <w:pPr>
        <w:spacing w:after="0" w:line="336" w:lineRule="auto"/>
        <w:ind w:right="-1" w:firstLine="567"/>
        <w:jc w:val="center"/>
        <w:rPr>
          <w:rFonts w:ascii="Times New Roman" w:eastAsia="Times New Roman" w:hAnsi="Times New Roman" w:cs="Times New Roman"/>
          <w:b/>
          <w:color w:val="auto"/>
          <w:spacing w:val="2"/>
          <w:sz w:val="26"/>
          <w:szCs w:val="26"/>
        </w:rPr>
      </w:pPr>
    </w:p>
    <w:p w14:paraId="0DA262EE" w14:textId="29677485" w:rsidR="00D05F03" w:rsidRPr="00733486" w:rsidRDefault="00D05F03" w:rsidP="00BD3E07">
      <w:pPr>
        <w:spacing w:after="0" w:line="336" w:lineRule="auto"/>
        <w:ind w:right="-1" w:firstLine="567"/>
        <w:jc w:val="center"/>
        <w:rPr>
          <w:rFonts w:ascii="Times New Roman" w:eastAsia="Times New Roman" w:hAnsi="Times New Roman" w:cs="Times New Roman"/>
          <w:b/>
          <w:color w:val="auto"/>
          <w:spacing w:val="2"/>
          <w:sz w:val="26"/>
          <w:szCs w:val="26"/>
        </w:rPr>
      </w:pPr>
      <w:r w:rsidRPr="00733486">
        <w:rPr>
          <w:rFonts w:ascii="Times New Roman" w:eastAsia="Times New Roman" w:hAnsi="Times New Roman" w:cs="Times New Roman"/>
          <w:b/>
          <w:color w:val="auto"/>
          <w:spacing w:val="2"/>
          <w:sz w:val="26"/>
          <w:szCs w:val="26"/>
        </w:rPr>
        <w:lastRenderedPageBreak/>
        <w:t>Bảng 4. Tác động của việc tăng chi phí nhân công đến chi phí xây dựng trong dự toán XDCT</w:t>
      </w:r>
      <w:r w:rsidRPr="00733486">
        <w:rPr>
          <w:rFonts w:ascii="Times New Roman" w:hAnsi="Times New Roman" w:cs="Times New Roman"/>
          <w:i/>
          <w:iCs/>
          <w:spacing w:val="-2"/>
          <w:sz w:val="26"/>
          <w:szCs w:val="26"/>
          <w:vertAlign w:val="superscript"/>
          <w:lang w:val="de-DE"/>
        </w:rPr>
        <w:t>[</w:t>
      </w:r>
      <w:r w:rsidRPr="00733486">
        <w:rPr>
          <w:rStyle w:val="FootnoteReference"/>
          <w:rFonts w:ascii="Times New Roman" w:hAnsi="Times New Roman" w:cs="Times New Roman"/>
          <w:i/>
          <w:iCs/>
          <w:sz w:val="26"/>
          <w:szCs w:val="26"/>
          <w:vertAlign w:val="superscript"/>
          <w:lang w:val="pt-BR"/>
        </w:rPr>
        <w:footnoteReference w:id="13"/>
      </w:r>
      <w:r w:rsidRPr="00733486">
        <w:rPr>
          <w:rFonts w:ascii="Times New Roman" w:hAnsi="Times New Roman" w:cs="Times New Roman"/>
          <w:i/>
          <w:iCs/>
          <w:sz w:val="26"/>
          <w:szCs w:val="26"/>
          <w:vertAlign w:val="superscript"/>
          <w:lang w:val="pt-BR"/>
        </w:rPr>
        <w:t>]</w:t>
      </w:r>
    </w:p>
    <w:tbl>
      <w:tblPr>
        <w:tblW w:w="4853" w:type="pct"/>
        <w:tblLayout w:type="fixed"/>
        <w:tblLook w:val="04A0" w:firstRow="1" w:lastRow="0" w:firstColumn="1" w:lastColumn="0" w:noHBand="0" w:noVBand="1"/>
      </w:tblPr>
      <w:tblGrid>
        <w:gridCol w:w="830"/>
        <w:gridCol w:w="3887"/>
        <w:gridCol w:w="1433"/>
        <w:gridCol w:w="1433"/>
        <w:gridCol w:w="1432"/>
      </w:tblGrid>
      <w:tr w:rsidR="00414B1F" w:rsidRPr="00733486" w14:paraId="73BE806D" w14:textId="1BF42230" w:rsidTr="008F04B6">
        <w:trPr>
          <w:cantSplit/>
          <w:trHeight w:val="570"/>
          <w:tblHeader/>
        </w:trPr>
        <w:tc>
          <w:tcPr>
            <w:tcW w:w="460" w:type="pct"/>
            <w:vMerge w:val="restart"/>
            <w:tcBorders>
              <w:top w:val="single" w:sz="4" w:space="0" w:color="auto"/>
              <w:left w:val="single" w:sz="4" w:space="0" w:color="auto"/>
              <w:right w:val="single" w:sz="4" w:space="0" w:color="auto"/>
            </w:tcBorders>
            <w:shd w:val="clear" w:color="auto" w:fill="auto"/>
            <w:noWrap/>
            <w:vAlign w:val="center"/>
            <w:hideMark/>
          </w:tcPr>
          <w:p w14:paraId="50047259" w14:textId="77777777" w:rsidR="00414B1F" w:rsidRPr="00CE50BE" w:rsidRDefault="00414B1F" w:rsidP="00BD3E07">
            <w:pPr>
              <w:pStyle w:val="body-text"/>
              <w:shd w:val="clear" w:color="auto" w:fill="FFFFFF"/>
              <w:spacing w:before="0" w:beforeAutospacing="0" w:after="0" w:afterAutospacing="0" w:line="336" w:lineRule="auto"/>
              <w:jc w:val="center"/>
              <w:rPr>
                <w:b/>
                <w:bCs/>
                <w:spacing w:val="2"/>
              </w:rPr>
            </w:pPr>
            <w:r w:rsidRPr="00CE50BE">
              <w:rPr>
                <w:b/>
                <w:bCs/>
                <w:spacing w:val="2"/>
              </w:rPr>
              <w:t>STT</w:t>
            </w:r>
          </w:p>
        </w:tc>
        <w:tc>
          <w:tcPr>
            <w:tcW w:w="2156" w:type="pct"/>
            <w:vMerge w:val="restart"/>
            <w:tcBorders>
              <w:top w:val="single" w:sz="4" w:space="0" w:color="auto"/>
              <w:left w:val="nil"/>
              <w:right w:val="single" w:sz="4" w:space="0" w:color="auto"/>
            </w:tcBorders>
            <w:vAlign w:val="center"/>
          </w:tcPr>
          <w:p w14:paraId="55A3A88E" w14:textId="77777777" w:rsidR="00414B1F" w:rsidRPr="00CE50BE" w:rsidRDefault="00414B1F" w:rsidP="00BD3E07">
            <w:pPr>
              <w:pStyle w:val="body-text"/>
              <w:shd w:val="clear" w:color="auto" w:fill="FFFFFF"/>
              <w:spacing w:before="0" w:beforeAutospacing="0" w:after="0" w:afterAutospacing="0" w:line="336" w:lineRule="auto"/>
              <w:ind w:hanging="104"/>
              <w:jc w:val="center"/>
              <w:rPr>
                <w:b/>
                <w:bCs/>
                <w:spacing w:val="2"/>
              </w:rPr>
            </w:pPr>
            <w:r w:rsidRPr="00CE50BE">
              <w:rPr>
                <w:b/>
                <w:bCs/>
                <w:spacing w:val="2"/>
              </w:rPr>
              <w:t>Loại hình công trình</w:t>
            </w:r>
          </w:p>
        </w:tc>
        <w:tc>
          <w:tcPr>
            <w:tcW w:w="2384" w:type="pct"/>
            <w:gridSpan w:val="3"/>
            <w:tcBorders>
              <w:top w:val="single" w:sz="4" w:space="0" w:color="auto"/>
              <w:left w:val="single" w:sz="4" w:space="0" w:color="auto"/>
              <w:bottom w:val="single" w:sz="4" w:space="0" w:color="auto"/>
              <w:right w:val="single" w:sz="4" w:space="0" w:color="auto"/>
            </w:tcBorders>
            <w:vAlign w:val="center"/>
          </w:tcPr>
          <w:p w14:paraId="7FD0426E" w14:textId="29B187DC" w:rsidR="00414B1F" w:rsidRPr="00CE50BE" w:rsidRDefault="00414B1F" w:rsidP="00BD3E07">
            <w:pPr>
              <w:pStyle w:val="body-text"/>
              <w:shd w:val="clear" w:color="auto" w:fill="FFFFFF"/>
              <w:spacing w:before="0" w:beforeAutospacing="0" w:after="0" w:afterAutospacing="0" w:line="336" w:lineRule="auto"/>
              <w:jc w:val="center"/>
              <w:rPr>
                <w:b/>
                <w:bCs/>
                <w:spacing w:val="2"/>
              </w:rPr>
            </w:pPr>
            <w:r w:rsidRPr="00CE50BE">
              <w:rPr>
                <w:b/>
                <w:bCs/>
                <w:spacing w:val="2"/>
              </w:rPr>
              <w:t>Tốc độ tăng CPXD</w:t>
            </w:r>
            <w:r w:rsidR="00C1074A">
              <w:rPr>
                <w:b/>
                <w:bCs/>
                <w:spacing w:val="2"/>
              </w:rPr>
              <w:t xml:space="preserve"> (%)</w:t>
            </w:r>
          </w:p>
        </w:tc>
      </w:tr>
      <w:tr w:rsidR="00414B1F" w:rsidRPr="00733486" w14:paraId="08733D66" w14:textId="73918299" w:rsidTr="008F04B6">
        <w:trPr>
          <w:cantSplit/>
          <w:trHeight w:val="510"/>
          <w:tblHeader/>
        </w:trPr>
        <w:tc>
          <w:tcPr>
            <w:tcW w:w="460" w:type="pct"/>
            <w:vMerge/>
            <w:tcBorders>
              <w:left w:val="single" w:sz="4" w:space="0" w:color="auto"/>
              <w:right w:val="single" w:sz="4" w:space="0" w:color="auto"/>
            </w:tcBorders>
            <w:shd w:val="clear" w:color="auto" w:fill="auto"/>
            <w:noWrap/>
            <w:vAlign w:val="center"/>
          </w:tcPr>
          <w:p w14:paraId="1B4F42F5" w14:textId="77777777" w:rsidR="00414B1F" w:rsidRPr="00CE50BE" w:rsidRDefault="00414B1F" w:rsidP="00BD3E07">
            <w:pPr>
              <w:pStyle w:val="body-text"/>
              <w:shd w:val="clear" w:color="auto" w:fill="FFFFFF"/>
              <w:spacing w:before="0" w:beforeAutospacing="0" w:after="0" w:afterAutospacing="0" w:line="336" w:lineRule="auto"/>
              <w:jc w:val="center"/>
              <w:rPr>
                <w:spacing w:val="2"/>
              </w:rPr>
            </w:pPr>
          </w:p>
        </w:tc>
        <w:tc>
          <w:tcPr>
            <w:tcW w:w="2156" w:type="pct"/>
            <w:vMerge/>
            <w:tcBorders>
              <w:left w:val="nil"/>
              <w:right w:val="single" w:sz="4" w:space="0" w:color="auto"/>
            </w:tcBorders>
            <w:vAlign w:val="center"/>
          </w:tcPr>
          <w:p w14:paraId="4AC86754" w14:textId="77777777" w:rsidR="00414B1F" w:rsidRPr="00CE50BE" w:rsidRDefault="00414B1F" w:rsidP="00BD3E07">
            <w:pPr>
              <w:pStyle w:val="body-text"/>
              <w:shd w:val="clear" w:color="auto" w:fill="FFFFFF"/>
              <w:spacing w:before="0" w:beforeAutospacing="0" w:after="0" w:afterAutospacing="0" w:line="336" w:lineRule="auto"/>
              <w:rPr>
                <w:spacing w:val="2"/>
              </w:rPr>
            </w:pPr>
          </w:p>
        </w:tc>
        <w:tc>
          <w:tcPr>
            <w:tcW w:w="2384" w:type="pct"/>
            <w:gridSpan w:val="3"/>
            <w:tcBorders>
              <w:top w:val="single" w:sz="4" w:space="0" w:color="auto"/>
              <w:left w:val="single" w:sz="4" w:space="0" w:color="auto"/>
              <w:bottom w:val="single" w:sz="4" w:space="0" w:color="auto"/>
              <w:right w:val="single" w:sz="4" w:space="0" w:color="auto"/>
            </w:tcBorders>
            <w:vAlign w:val="center"/>
          </w:tcPr>
          <w:p w14:paraId="304C258A" w14:textId="7CF44EF1" w:rsidR="00414B1F" w:rsidRPr="00CE50BE" w:rsidRDefault="00414B1F" w:rsidP="00BD3E07">
            <w:pPr>
              <w:pStyle w:val="body-text"/>
              <w:shd w:val="clear" w:color="auto" w:fill="FFFFFF"/>
              <w:spacing w:before="0" w:beforeAutospacing="0" w:after="0" w:afterAutospacing="0" w:line="336" w:lineRule="auto"/>
              <w:jc w:val="center"/>
              <w:rPr>
                <w:spacing w:val="2"/>
              </w:rPr>
            </w:pPr>
            <w:r w:rsidRPr="00CE50BE">
              <w:rPr>
                <w:b/>
                <w:bCs/>
                <w:spacing w:val="2"/>
              </w:rPr>
              <w:t>Tốc độ tăng nhân công</w:t>
            </w:r>
          </w:p>
        </w:tc>
      </w:tr>
      <w:tr w:rsidR="003C5454" w:rsidRPr="00733486" w14:paraId="7E8694B1" w14:textId="77777777" w:rsidTr="008F04B6">
        <w:trPr>
          <w:cantSplit/>
          <w:trHeight w:val="510"/>
          <w:tblHeader/>
        </w:trPr>
        <w:tc>
          <w:tcPr>
            <w:tcW w:w="460" w:type="pct"/>
            <w:vMerge/>
            <w:tcBorders>
              <w:left w:val="single" w:sz="4" w:space="0" w:color="auto"/>
              <w:bottom w:val="single" w:sz="4" w:space="0" w:color="auto"/>
              <w:right w:val="single" w:sz="4" w:space="0" w:color="auto"/>
            </w:tcBorders>
            <w:shd w:val="clear" w:color="auto" w:fill="auto"/>
            <w:noWrap/>
            <w:vAlign w:val="center"/>
          </w:tcPr>
          <w:p w14:paraId="723D4C3E" w14:textId="77777777"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p>
        </w:tc>
        <w:tc>
          <w:tcPr>
            <w:tcW w:w="2156" w:type="pct"/>
            <w:vMerge/>
            <w:tcBorders>
              <w:left w:val="nil"/>
              <w:bottom w:val="single" w:sz="4" w:space="0" w:color="auto"/>
              <w:right w:val="single" w:sz="4" w:space="0" w:color="auto"/>
            </w:tcBorders>
            <w:vAlign w:val="center"/>
          </w:tcPr>
          <w:p w14:paraId="34A2D199" w14:textId="77777777" w:rsidR="003C5454" w:rsidRPr="00733486" w:rsidRDefault="003C5454" w:rsidP="00BD3E07">
            <w:pPr>
              <w:pStyle w:val="body-text"/>
              <w:shd w:val="clear" w:color="auto" w:fill="FFFFFF"/>
              <w:spacing w:before="0" w:beforeAutospacing="0" w:after="0" w:afterAutospacing="0" w:line="336" w:lineRule="auto"/>
              <w:rPr>
                <w:spacing w:val="2"/>
                <w:sz w:val="26"/>
                <w:szCs w:val="26"/>
              </w:rPr>
            </w:pPr>
          </w:p>
        </w:tc>
        <w:tc>
          <w:tcPr>
            <w:tcW w:w="795" w:type="pct"/>
            <w:tcBorders>
              <w:top w:val="single" w:sz="4" w:space="0" w:color="auto"/>
              <w:left w:val="single" w:sz="4" w:space="0" w:color="auto"/>
              <w:bottom w:val="single" w:sz="4" w:space="0" w:color="auto"/>
              <w:right w:val="single" w:sz="4" w:space="0" w:color="auto"/>
            </w:tcBorders>
            <w:vAlign w:val="center"/>
          </w:tcPr>
          <w:p w14:paraId="654FA3C9" w14:textId="3198BF81" w:rsidR="003C5454" w:rsidRPr="00AA4418" w:rsidRDefault="003C5454" w:rsidP="00BD3E07">
            <w:pPr>
              <w:pStyle w:val="body-text"/>
              <w:shd w:val="clear" w:color="auto" w:fill="FFFFFF"/>
              <w:spacing w:before="0" w:beforeAutospacing="0" w:after="0" w:afterAutospacing="0" w:line="336" w:lineRule="auto"/>
              <w:jc w:val="center"/>
              <w:rPr>
                <w:i/>
                <w:iCs/>
                <w:spacing w:val="2"/>
                <w:sz w:val="20"/>
                <w:szCs w:val="20"/>
              </w:rPr>
            </w:pPr>
            <w:r w:rsidRPr="00AA4418">
              <w:rPr>
                <w:i/>
                <w:iCs/>
                <w:spacing w:val="2"/>
                <w:sz w:val="20"/>
                <w:szCs w:val="20"/>
              </w:rPr>
              <w:t>10%</w:t>
            </w:r>
          </w:p>
        </w:tc>
        <w:tc>
          <w:tcPr>
            <w:tcW w:w="795" w:type="pct"/>
            <w:tcBorders>
              <w:top w:val="single" w:sz="4" w:space="0" w:color="auto"/>
              <w:left w:val="single" w:sz="4" w:space="0" w:color="auto"/>
              <w:bottom w:val="single" w:sz="4" w:space="0" w:color="auto"/>
              <w:right w:val="single" w:sz="4" w:space="0" w:color="auto"/>
            </w:tcBorders>
            <w:vAlign w:val="center"/>
          </w:tcPr>
          <w:p w14:paraId="3B4B419E" w14:textId="2E2DB51D" w:rsidR="003C5454" w:rsidRPr="00AA4418" w:rsidRDefault="003C5454" w:rsidP="00BD3E07">
            <w:pPr>
              <w:pStyle w:val="body-text"/>
              <w:shd w:val="clear" w:color="auto" w:fill="FFFFFF"/>
              <w:spacing w:before="0" w:beforeAutospacing="0" w:after="0" w:afterAutospacing="0" w:line="336" w:lineRule="auto"/>
              <w:jc w:val="center"/>
              <w:rPr>
                <w:i/>
                <w:iCs/>
                <w:spacing w:val="2"/>
                <w:sz w:val="20"/>
                <w:szCs w:val="20"/>
              </w:rPr>
            </w:pPr>
            <w:r>
              <w:rPr>
                <w:i/>
                <w:iCs/>
                <w:spacing w:val="2"/>
                <w:sz w:val="20"/>
                <w:szCs w:val="20"/>
              </w:rPr>
              <w:t>20%</w:t>
            </w:r>
          </w:p>
        </w:tc>
        <w:tc>
          <w:tcPr>
            <w:tcW w:w="795" w:type="pct"/>
            <w:tcBorders>
              <w:top w:val="single" w:sz="4" w:space="0" w:color="auto"/>
              <w:left w:val="single" w:sz="4" w:space="0" w:color="auto"/>
              <w:bottom w:val="single" w:sz="4" w:space="0" w:color="auto"/>
              <w:right w:val="single" w:sz="4" w:space="0" w:color="auto"/>
            </w:tcBorders>
            <w:vAlign w:val="center"/>
          </w:tcPr>
          <w:p w14:paraId="51211DF1" w14:textId="2CC6925D" w:rsidR="003C5454" w:rsidRPr="00AA4418" w:rsidRDefault="003C5454" w:rsidP="00BD3E07">
            <w:pPr>
              <w:pStyle w:val="body-text"/>
              <w:shd w:val="clear" w:color="auto" w:fill="FFFFFF"/>
              <w:spacing w:before="0" w:beforeAutospacing="0" w:after="0" w:afterAutospacing="0" w:line="336" w:lineRule="auto"/>
              <w:jc w:val="center"/>
              <w:rPr>
                <w:i/>
                <w:iCs/>
                <w:spacing w:val="2"/>
                <w:sz w:val="20"/>
                <w:szCs w:val="20"/>
              </w:rPr>
            </w:pPr>
            <w:r>
              <w:rPr>
                <w:i/>
                <w:iCs/>
                <w:spacing w:val="2"/>
                <w:sz w:val="20"/>
                <w:szCs w:val="20"/>
              </w:rPr>
              <w:t>30%</w:t>
            </w:r>
          </w:p>
        </w:tc>
      </w:tr>
      <w:tr w:rsidR="003C5454" w:rsidRPr="00733486" w14:paraId="1B373A65" w14:textId="7448DFA5" w:rsidTr="003C5454">
        <w:trPr>
          <w:cantSplit/>
          <w:trHeight w:val="510"/>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1C564" w14:textId="77777777"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1</w:t>
            </w:r>
          </w:p>
        </w:tc>
        <w:tc>
          <w:tcPr>
            <w:tcW w:w="2156" w:type="pct"/>
            <w:tcBorders>
              <w:top w:val="single" w:sz="4" w:space="0" w:color="auto"/>
              <w:left w:val="nil"/>
              <w:bottom w:val="single" w:sz="4" w:space="0" w:color="auto"/>
              <w:right w:val="single" w:sz="4" w:space="0" w:color="auto"/>
            </w:tcBorders>
            <w:vAlign w:val="center"/>
          </w:tcPr>
          <w:p w14:paraId="520E7E8B" w14:textId="77777777" w:rsidR="003C5454" w:rsidRPr="00733486" w:rsidRDefault="003C5454"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Công trình dân dụng</w:t>
            </w:r>
          </w:p>
        </w:tc>
        <w:tc>
          <w:tcPr>
            <w:tcW w:w="795" w:type="pct"/>
            <w:tcBorders>
              <w:top w:val="single" w:sz="4" w:space="0" w:color="auto"/>
              <w:left w:val="single" w:sz="4" w:space="0" w:color="auto"/>
              <w:bottom w:val="single" w:sz="4" w:space="0" w:color="auto"/>
              <w:right w:val="single" w:sz="4" w:space="0" w:color="auto"/>
            </w:tcBorders>
            <w:vAlign w:val="center"/>
          </w:tcPr>
          <w:p w14:paraId="1E24157E" w14:textId="7067688C"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2,33</w:t>
            </w:r>
          </w:p>
        </w:tc>
        <w:tc>
          <w:tcPr>
            <w:tcW w:w="795" w:type="pct"/>
            <w:tcBorders>
              <w:top w:val="single" w:sz="4" w:space="0" w:color="auto"/>
              <w:left w:val="single" w:sz="4" w:space="0" w:color="auto"/>
              <w:bottom w:val="single" w:sz="4" w:space="0" w:color="auto"/>
              <w:right w:val="single" w:sz="4" w:space="0" w:color="auto"/>
            </w:tcBorders>
            <w:vAlign w:val="center"/>
          </w:tcPr>
          <w:p w14:paraId="2CF679BF" w14:textId="2405165A"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Pr>
                <w:spacing w:val="2"/>
                <w:sz w:val="26"/>
                <w:szCs w:val="26"/>
              </w:rPr>
              <w:t>4,66</w:t>
            </w:r>
          </w:p>
        </w:tc>
        <w:tc>
          <w:tcPr>
            <w:tcW w:w="795" w:type="pct"/>
            <w:tcBorders>
              <w:top w:val="single" w:sz="4" w:space="0" w:color="auto"/>
              <w:left w:val="single" w:sz="4" w:space="0" w:color="auto"/>
              <w:bottom w:val="single" w:sz="4" w:space="0" w:color="auto"/>
              <w:right w:val="single" w:sz="4" w:space="0" w:color="auto"/>
            </w:tcBorders>
            <w:vAlign w:val="center"/>
          </w:tcPr>
          <w:p w14:paraId="2AB8A5D8" w14:textId="20C547FB"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Pr>
                <w:spacing w:val="2"/>
                <w:sz w:val="26"/>
                <w:szCs w:val="26"/>
              </w:rPr>
              <w:t>7,00</w:t>
            </w:r>
          </w:p>
        </w:tc>
      </w:tr>
      <w:tr w:rsidR="003C5454" w:rsidRPr="00733486" w14:paraId="0A157E8C" w14:textId="08BF0E56" w:rsidTr="003C5454">
        <w:trPr>
          <w:cantSplit/>
          <w:trHeight w:val="510"/>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80098" w14:textId="77777777"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w:t>
            </w:r>
          </w:p>
        </w:tc>
        <w:tc>
          <w:tcPr>
            <w:tcW w:w="2156" w:type="pct"/>
            <w:tcBorders>
              <w:top w:val="single" w:sz="4" w:space="0" w:color="auto"/>
              <w:left w:val="nil"/>
              <w:bottom w:val="single" w:sz="4" w:space="0" w:color="auto"/>
              <w:right w:val="single" w:sz="4" w:space="0" w:color="auto"/>
            </w:tcBorders>
            <w:vAlign w:val="center"/>
          </w:tcPr>
          <w:p w14:paraId="03CBA123" w14:textId="77777777" w:rsidR="003C5454" w:rsidRPr="00733486" w:rsidRDefault="003C5454"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Công trình công nghiệp</w:t>
            </w:r>
          </w:p>
        </w:tc>
        <w:tc>
          <w:tcPr>
            <w:tcW w:w="795" w:type="pct"/>
            <w:tcBorders>
              <w:top w:val="single" w:sz="4" w:space="0" w:color="auto"/>
              <w:left w:val="single" w:sz="4" w:space="0" w:color="auto"/>
              <w:bottom w:val="single" w:sz="4" w:space="0" w:color="auto"/>
              <w:right w:val="single" w:sz="4" w:space="0" w:color="auto"/>
            </w:tcBorders>
            <w:vAlign w:val="center"/>
          </w:tcPr>
          <w:p w14:paraId="231D91E6" w14:textId="3329288F"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2,29</w:t>
            </w:r>
          </w:p>
        </w:tc>
        <w:tc>
          <w:tcPr>
            <w:tcW w:w="795" w:type="pct"/>
            <w:tcBorders>
              <w:top w:val="single" w:sz="4" w:space="0" w:color="auto"/>
              <w:left w:val="single" w:sz="4" w:space="0" w:color="auto"/>
              <w:bottom w:val="single" w:sz="4" w:space="0" w:color="auto"/>
              <w:right w:val="single" w:sz="4" w:space="0" w:color="auto"/>
            </w:tcBorders>
            <w:vAlign w:val="center"/>
          </w:tcPr>
          <w:p w14:paraId="2C52A01E" w14:textId="07E4E458"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Pr>
                <w:spacing w:val="2"/>
                <w:sz w:val="26"/>
                <w:szCs w:val="26"/>
              </w:rPr>
              <w:t>4,59</w:t>
            </w:r>
          </w:p>
        </w:tc>
        <w:tc>
          <w:tcPr>
            <w:tcW w:w="795" w:type="pct"/>
            <w:tcBorders>
              <w:top w:val="single" w:sz="4" w:space="0" w:color="auto"/>
              <w:left w:val="single" w:sz="4" w:space="0" w:color="auto"/>
              <w:bottom w:val="single" w:sz="4" w:space="0" w:color="auto"/>
              <w:right w:val="single" w:sz="4" w:space="0" w:color="auto"/>
            </w:tcBorders>
            <w:vAlign w:val="center"/>
          </w:tcPr>
          <w:p w14:paraId="2495BBEE" w14:textId="1EA64D2F"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Pr>
                <w:spacing w:val="2"/>
                <w:sz w:val="26"/>
                <w:szCs w:val="26"/>
              </w:rPr>
              <w:t>6,88</w:t>
            </w:r>
          </w:p>
        </w:tc>
      </w:tr>
      <w:tr w:rsidR="003C5454" w:rsidRPr="00733486" w14:paraId="1971B2DE" w14:textId="1F576644" w:rsidTr="003C5454">
        <w:trPr>
          <w:cantSplit/>
          <w:trHeight w:val="510"/>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46918" w14:textId="77777777"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3</w:t>
            </w:r>
          </w:p>
        </w:tc>
        <w:tc>
          <w:tcPr>
            <w:tcW w:w="2156" w:type="pct"/>
            <w:tcBorders>
              <w:top w:val="single" w:sz="4" w:space="0" w:color="auto"/>
              <w:left w:val="nil"/>
              <w:bottom w:val="single" w:sz="4" w:space="0" w:color="auto"/>
              <w:right w:val="single" w:sz="4" w:space="0" w:color="auto"/>
            </w:tcBorders>
            <w:vAlign w:val="center"/>
          </w:tcPr>
          <w:p w14:paraId="3F60AC50" w14:textId="77777777" w:rsidR="003C5454" w:rsidRPr="00733486" w:rsidRDefault="003C5454"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Công trình hạ tầng kỹ thuật</w:t>
            </w:r>
          </w:p>
        </w:tc>
        <w:tc>
          <w:tcPr>
            <w:tcW w:w="795" w:type="pct"/>
            <w:tcBorders>
              <w:top w:val="single" w:sz="4" w:space="0" w:color="auto"/>
              <w:left w:val="single" w:sz="4" w:space="0" w:color="auto"/>
              <w:bottom w:val="single" w:sz="4" w:space="0" w:color="auto"/>
              <w:right w:val="single" w:sz="4" w:space="0" w:color="auto"/>
            </w:tcBorders>
            <w:vAlign w:val="center"/>
          </w:tcPr>
          <w:p w14:paraId="1645BDFD" w14:textId="6EFF1839"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2,61</w:t>
            </w:r>
          </w:p>
        </w:tc>
        <w:tc>
          <w:tcPr>
            <w:tcW w:w="795" w:type="pct"/>
            <w:tcBorders>
              <w:top w:val="single" w:sz="4" w:space="0" w:color="auto"/>
              <w:left w:val="single" w:sz="4" w:space="0" w:color="auto"/>
              <w:bottom w:val="single" w:sz="4" w:space="0" w:color="auto"/>
              <w:right w:val="single" w:sz="4" w:space="0" w:color="auto"/>
            </w:tcBorders>
            <w:vAlign w:val="center"/>
          </w:tcPr>
          <w:p w14:paraId="2B69D72D" w14:textId="1BC5A70C"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Pr>
                <w:spacing w:val="2"/>
                <w:sz w:val="26"/>
                <w:szCs w:val="26"/>
              </w:rPr>
              <w:t>5,22</w:t>
            </w:r>
          </w:p>
        </w:tc>
        <w:tc>
          <w:tcPr>
            <w:tcW w:w="795" w:type="pct"/>
            <w:tcBorders>
              <w:top w:val="single" w:sz="4" w:space="0" w:color="auto"/>
              <w:left w:val="single" w:sz="4" w:space="0" w:color="auto"/>
              <w:bottom w:val="single" w:sz="4" w:space="0" w:color="auto"/>
              <w:right w:val="single" w:sz="4" w:space="0" w:color="auto"/>
            </w:tcBorders>
            <w:vAlign w:val="center"/>
          </w:tcPr>
          <w:p w14:paraId="76FAF925" w14:textId="6E9EF172"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Pr>
                <w:spacing w:val="2"/>
                <w:sz w:val="26"/>
                <w:szCs w:val="26"/>
              </w:rPr>
              <w:t>7,83</w:t>
            </w:r>
          </w:p>
        </w:tc>
      </w:tr>
      <w:tr w:rsidR="003C5454" w:rsidRPr="00733486" w14:paraId="3CBD9067" w14:textId="1534F45C" w:rsidTr="003C5454">
        <w:trPr>
          <w:cantSplit/>
          <w:trHeight w:val="510"/>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E7B1B6" w14:textId="77777777"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4</w:t>
            </w:r>
          </w:p>
        </w:tc>
        <w:tc>
          <w:tcPr>
            <w:tcW w:w="2156" w:type="pct"/>
            <w:tcBorders>
              <w:top w:val="single" w:sz="4" w:space="0" w:color="auto"/>
              <w:left w:val="nil"/>
              <w:bottom w:val="single" w:sz="4" w:space="0" w:color="auto"/>
              <w:right w:val="single" w:sz="4" w:space="0" w:color="auto"/>
            </w:tcBorders>
            <w:vAlign w:val="center"/>
          </w:tcPr>
          <w:p w14:paraId="08995C67" w14:textId="77777777" w:rsidR="003C5454" w:rsidRPr="00733486" w:rsidRDefault="003C5454"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Công trình giao thông</w:t>
            </w:r>
          </w:p>
        </w:tc>
        <w:tc>
          <w:tcPr>
            <w:tcW w:w="795" w:type="pct"/>
            <w:tcBorders>
              <w:top w:val="single" w:sz="4" w:space="0" w:color="auto"/>
              <w:left w:val="single" w:sz="4" w:space="0" w:color="auto"/>
              <w:bottom w:val="single" w:sz="4" w:space="0" w:color="auto"/>
              <w:right w:val="single" w:sz="4" w:space="0" w:color="auto"/>
            </w:tcBorders>
            <w:vAlign w:val="center"/>
          </w:tcPr>
          <w:p w14:paraId="7C1155E4" w14:textId="03B24229"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1,88</w:t>
            </w:r>
          </w:p>
        </w:tc>
        <w:tc>
          <w:tcPr>
            <w:tcW w:w="795" w:type="pct"/>
            <w:tcBorders>
              <w:top w:val="single" w:sz="4" w:space="0" w:color="auto"/>
              <w:left w:val="single" w:sz="4" w:space="0" w:color="auto"/>
              <w:bottom w:val="single" w:sz="4" w:space="0" w:color="auto"/>
              <w:right w:val="single" w:sz="4" w:space="0" w:color="auto"/>
            </w:tcBorders>
            <w:vAlign w:val="center"/>
          </w:tcPr>
          <w:p w14:paraId="7BD392E6" w14:textId="532EAB41"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Pr>
                <w:spacing w:val="2"/>
                <w:sz w:val="26"/>
                <w:szCs w:val="26"/>
              </w:rPr>
              <w:t>3,75</w:t>
            </w:r>
          </w:p>
        </w:tc>
        <w:tc>
          <w:tcPr>
            <w:tcW w:w="795" w:type="pct"/>
            <w:tcBorders>
              <w:top w:val="single" w:sz="4" w:space="0" w:color="auto"/>
              <w:left w:val="single" w:sz="4" w:space="0" w:color="auto"/>
              <w:bottom w:val="single" w:sz="4" w:space="0" w:color="auto"/>
              <w:right w:val="single" w:sz="4" w:space="0" w:color="auto"/>
            </w:tcBorders>
            <w:vAlign w:val="center"/>
          </w:tcPr>
          <w:p w14:paraId="2B8F20E6" w14:textId="3BF54FB4"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Pr>
                <w:spacing w:val="2"/>
                <w:sz w:val="26"/>
                <w:szCs w:val="26"/>
              </w:rPr>
              <w:t>5,63</w:t>
            </w:r>
          </w:p>
        </w:tc>
      </w:tr>
      <w:tr w:rsidR="003C5454" w:rsidRPr="00733486" w14:paraId="41B4DA09" w14:textId="2CEDE93A" w:rsidTr="003C5454">
        <w:trPr>
          <w:cantSplit/>
          <w:trHeight w:val="339"/>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598793" w14:textId="77777777"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5</w:t>
            </w:r>
          </w:p>
        </w:tc>
        <w:tc>
          <w:tcPr>
            <w:tcW w:w="2156" w:type="pct"/>
            <w:tcBorders>
              <w:top w:val="single" w:sz="4" w:space="0" w:color="auto"/>
              <w:left w:val="nil"/>
              <w:bottom w:val="single" w:sz="4" w:space="0" w:color="auto"/>
              <w:right w:val="single" w:sz="4" w:space="0" w:color="auto"/>
            </w:tcBorders>
            <w:vAlign w:val="center"/>
          </w:tcPr>
          <w:p w14:paraId="38B2E92C" w14:textId="77777777" w:rsidR="003C5454" w:rsidRPr="00733486" w:rsidRDefault="003C5454" w:rsidP="00BD3E07">
            <w:pPr>
              <w:pStyle w:val="body-text"/>
              <w:shd w:val="clear" w:color="auto" w:fill="FFFFFF"/>
              <w:spacing w:before="0" w:beforeAutospacing="0" w:after="0" w:afterAutospacing="0" w:line="336" w:lineRule="auto"/>
              <w:rPr>
                <w:spacing w:val="2"/>
                <w:sz w:val="26"/>
                <w:szCs w:val="26"/>
              </w:rPr>
            </w:pPr>
            <w:r w:rsidRPr="00733486">
              <w:rPr>
                <w:spacing w:val="2"/>
                <w:sz w:val="26"/>
                <w:szCs w:val="26"/>
              </w:rPr>
              <w:t>Công trình nông nghiệp và phát triển nông thôn</w:t>
            </w:r>
          </w:p>
        </w:tc>
        <w:tc>
          <w:tcPr>
            <w:tcW w:w="795" w:type="pct"/>
            <w:tcBorders>
              <w:top w:val="single" w:sz="4" w:space="0" w:color="auto"/>
              <w:left w:val="single" w:sz="4" w:space="0" w:color="auto"/>
              <w:bottom w:val="single" w:sz="4" w:space="0" w:color="auto"/>
              <w:right w:val="single" w:sz="4" w:space="0" w:color="auto"/>
            </w:tcBorders>
            <w:vAlign w:val="center"/>
          </w:tcPr>
          <w:p w14:paraId="1D1A5335" w14:textId="7F065D69"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sidRPr="00733486">
              <w:rPr>
                <w:spacing w:val="2"/>
                <w:sz w:val="26"/>
                <w:szCs w:val="26"/>
              </w:rPr>
              <w:t>2,56</w:t>
            </w:r>
          </w:p>
        </w:tc>
        <w:tc>
          <w:tcPr>
            <w:tcW w:w="795" w:type="pct"/>
            <w:tcBorders>
              <w:top w:val="single" w:sz="4" w:space="0" w:color="auto"/>
              <w:left w:val="single" w:sz="4" w:space="0" w:color="auto"/>
              <w:bottom w:val="single" w:sz="4" w:space="0" w:color="auto"/>
              <w:right w:val="single" w:sz="4" w:space="0" w:color="auto"/>
            </w:tcBorders>
            <w:vAlign w:val="center"/>
          </w:tcPr>
          <w:p w14:paraId="62A8EDD3" w14:textId="3295187E"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Pr>
                <w:spacing w:val="2"/>
                <w:sz w:val="26"/>
                <w:szCs w:val="26"/>
              </w:rPr>
              <w:t>5,13</w:t>
            </w:r>
          </w:p>
        </w:tc>
        <w:tc>
          <w:tcPr>
            <w:tcW w:w="795" w:type="pct"/>
            <w:tcBorders>
              <w:top w:val="single" w:sz="4" w:space="0" w:color="auto"/>
              <w:left w:val="single" w:sz="4" w:space="0" w:color="auto"/>
              <w:bottom w:val="single" w:sz="4" w:space="0" w:color="auto"/>
              <w:right w:val="single" w:sz="4" w:space="0" w:color="auto"/>
            </w:tcBorders>
            <w:vAlign w:val="center"/>
          </w:tcPr>
          <w:p w14:paraId="3E192F76" w14:textId="3BA2F057" w:rsidR="003C5454" w:rsidRPr="00733486" w:rsidRDefault="003C5454" w:rsidP="00BD3E07">
            <w:pPr>
              <w:pStyle w:val="body-text"/>
              <w:shd w:val="clear" w:color="auto" w:fill="FFFFFF"/>
              <w:spacing w:before="0" w:beforeAutospacing="0" w:after="0" w:afterAutospacing="0" w:line="336" w:lineRule="auto"/>
              <w:jc w:val="center"/>
              <w:rPr>
                <w:spacing w:val="2"/>
                <w:sz w:val="26"/>
                <w:szCs w:val="26"/>
              </w:rPr>
            </w:pPr>
            <w:r>
              <w:rPr>
                <w:spacing w:val="2"/>
                <w:sz w:val="26"/>
                <w:szCs w:val="26"/>
              </w:rPr>
              <w:t>7,69</w:t>
            </w:r>
          </w:p>
        </w:tc>
      </w:tr>
      <w:tr w:rsidR="003C5454" w:rsidRPr="00733486" w14:paraId="78417B3C" w14:textId="673E9017" w:rsidTr="003C5454">
        <w:trPr>
          <w:cantSplit/>
          <w:trHeight w:val="339"/>
        </w:trPr>
        <w:tc>
          <w:tcPr>
            <w:tcW w:w="26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1D707F" w14:textId="77777777" w:rsidR="003C5454" w:rsidRPr="00733486" w:rsidRDefault="003C5454" w:rsidP="00BD3E07">
            <w:pPr>
              <w:pStyle w:val="body-text"/>
              <w:shd w:val="clear" w:color="auto" w:fill="FFFFFF"/>
              <w:spacing w:before="0" w:beforeAutospacing="0" w:after="0" w:afterAutospacing="0" w:line="336" w:lineRule="auto"/>
              <w:jc w:val="center"/>
              <w:rPr>
                <w:b/>
                <w:bCs/>
                <w:spacing w:val="2"/>
                <w:sz w:val="26"/>
                <w:szCs w:val="26"/>
              </w:rPr>
            </w:pPr>
            <w:r w:rsidRPr="00733486">
              <w:rPr>
                <w:b/>
                <w:bCs/>
                <w:spacing w:val="2"/>
                <w:sz w:val="26"/>
                <w:szCs w:val="26"/>
              </w:rPr>
              <w:t>Tính bình quân các loại hình công trình</w:t>
            </w:r>
          </w:p>
        </w:tc>
        <w:tc>
          <w:tcPr>
            <w:tcW w:w="795" w:type="pct"/>
            <w:tcBorders>
              <w:top w:val="single" w:sz="4" w:space="0" w:color="auto"/>
              <w:left w:val="single" w:sz="4" w:space="0" w:color="auto"/>
              <w:bottom w:val="single" w:sz="4" w:space="0" w:color="auto"/>
              <w:right w:val="single" w:sz="4" w:space="0" w:color="auto"/>
            </w:tcBorders>
          </w:tcPr>
          <w:p w14:paraId="37EFB6BC" w14:textId="1C220822" w:rsidR="003C5454" w:rsidRPr="00733486" w:rsidRDefault="003C5454" w:rsidP="00BD3E07">
            <w:pPr>
              <w:pStyle w:val="body-text"/>
              <w:shd w:val="clear" w:color="auto" w:fill="FFFFFF"/>
              <w:spacing w:before="0" w:beforeAutospacing="0" w:after="0" w:afterAutospacing="0" w:line="336" w:lineRule="auto"/>
              <w:jc w:val="center"/>
              <w:rPr>
                <w:b/>
                <w:bCs/>
                <w:spacing w:val="2"/>
                <w:sz w:val="26"/>
                <w:szCs w:val="26"/>
              </w:rPr>
            </w:pPr>
            <w:r w:rsidRPr="00733486">
              <w:rPr>
                <w:b/>
                <w:bCs/>
                <w:spacing w:val="2"/>
                <w:sz w:val="26"/>
                <w:szCs w:val="26"/>
              </w:rPr>
              <w:t>1,17</w:t>
            </w:r>
          </w:p>
        </w:tc>
        <w:tc>
          <w:tcPr>
            <w:tcW w:w="795" w:type="pct"/>
            <w:tcBorders>
              <w:top w:val="single" w:sz="4" w:space="0" w:color="auto"/>
              <w:left w:val="single" w:sz="4" w:space="0" w:color="auto"/>
              <w:bottom w:val="single" w:sz="4" w:space="0" w:color="auto"/>
              <w:right w:val="single" w:sz="4" w:space="0" w:color="auto"/>
            </w:tcBorders>
          </w:tcPr>
          <w:p w14:paraId="15089C92" w14:textId="2877E8EE" w:rsidR="003C5454" w:rsidRPr="00733486" w:rsidRDefault="003C5454" w:rsidP="00BD3E07">
            <w:pPr>
              <w:pStyle w:val="body-text"/>
              <w:shd w:val="clear" w:color="auto" w:fill="FFFFFF"/>
              <w:spacing w:before="0" w:beforeAutospacing="0" w:after="0" w:afterAutospacing="0" w:line="336" w:lineRule="auto"/>
              <w:jc w:val="center"/>
              <w:rPr>
                <w:b/>
                <w:bCs/>
                <w:spacing w:val="2"/>
                <w:sz w:val="26"/>
                <w:szCs w:val="26"/>
              </w:rPr>
            </w:pPr>
            <w:r>
              <w:rPr>
                <w:b/>
                <w:bCs/>
                <w:spacing w:val="2"/>
                <w:sz w:val="26"/>
                <w:szCs w:val="26"/>
              </w:rPr>
              <w:t>4,67</w:t>
            </w:r>
          </w:p>
        </w:tc>
        <w:tc>
          <w:tcPr>
            <w:tcW w:w="795" w:type="pct"/>
            <w:tcBorders>
              <w:top w:val="single" w:sz="4" w:space="0" w:color="auto"/>
              <w:left w:val="single" w:sz="4" w:space="0" w:color="auto"/>
              <w:bottom w:val="single" w:sz="4" w:space="0" w:color="auto"/>
              <w:right w:val="single" w:sz="4" w:space="0" w:color="auto"/>
            </w:tcBorders>
          </w:tcPr>
          <w:p w14:paraId="662AB478" w14:textId="2F70D56B" w:rsidR="003C5454" w:rsidRPr="00733486" w:rsidRDefault="003C5454" w:rsidP="00BD3E07">
            <w:pPr>
              <w:pStyle w:val="body-text"/>
              <w:shd w:val="clear" w:color="auto" w:fill="FFFFFF"/>
              <w:spacing w:before="0" w:beforeAutospacing="0" w:after="0" w:afterAutospacing="0" w:line="336" w:lineRule="auto"/>
              <w:jc w:val="center"/>
              <w:rPr>
                <w:b/>
                <w:bCs/>
                <w:spacing w:val="2"/>
                <w:sz w:val="26"/>
                <w:szCs w:val="26"/>
              </w:rPr>
            </w:pPr>
            <w:r>
              <w:rPr>
                <w:b/>
                <w:bCs/>
                <w:spacing w:val="2"/>
                <w:sz w:val="26"/>
                <w:szCs w:val="26"/>
              </w:rPr>
              <w:t>7,01</w:t>
            </w:r>
          </w:p>
        </w:tc>
      </w:tr>
    </w:tbl>
    <w:p w14:paraId="63A32E16" w14:textId="77777777" w:rsidR="00414B1F" w:rsidRPr="00733486" w:rsidRDefault="00414B1F" w:rsidP="00BD3E07">
      <w:pPr>
        <w:spacing w:after="0" w:line="336" w:lineRule="auto"/>
        <w:ind w:right="-1" w:firstLine="567"/>
        <w:rPr>
          <w:rFonts w:ascii="Times New Roman" w:hAnsi="Times New Roman" w:cs="Times New Roman"/>
          <w:sz w:val="26"/>
          <w:szCs w:val="26"/>
        </w:rPr>
      </w:pPr>
    </w:p>
    <w:p w14:paraId="3243DA04" w14:textId="77777777" w:rsidR="00C22310" w:rsidRPr="008F04B6" w:rsidRDefault="00414B1F"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Việc điều chỉnh khung đơn giá nhân công</w:t>
      </w:r>
      <w:r w:rsidR="00041D32" w:rsidRPr="00733486">
        <w:rPr>
          <w:rFonts w:ascii="Times New Roman" w:hAnsi="Times New Roman" w:cs="Times New Roman"/>
          <w:sz w:val="26"/>
          <w:szCs w:val="26"/>
        </w:rPr>
        <w:t xml:space="preserve"> </w:t>
      </w:r>
      <w:r w:rsidR="00AA4418">
        <w:rPr>
          <w:rFonts w:ascii="Times New Roman" w:hAnsi="Times New Roman" w:cs="Times New Roman"/>
          <w:sz w:val="26"/>
          <w:szCs w:val="26"/>
        </w:rPr>
        <w:t>làm cơ sở</w:t>
      </w:r>
      <w:r w:rsidR="00041D32" w:rsidRPr="00733486">
        <w:rPr>
          <w:rFonts w:ascii="Times New Roman" w:hAnsi="Times New Roman" w:cs="Times New Roman"/>
          <w:sz w:val="26"/>
          <w:szCs w:val="26"/>
        </w:rPr>
        <w:t xml:space="preserve"> điều chỉnh</w:t>
      </w:r>
      <w:r w:rsidRPr="00733486">
        <w:rPr>
          <w:rFonts w:ascii="Times New Roman" w:hAnsi="Times New Roman" w:cs="Times New Roman"/>
          <w:sz w:val="26"/>
          <w:szCs w:val="26"/>
        </w:rPr>
        <w:t xml:space="preserve"> đơn giá nhân công các địa </w:t>
      </w:r>
      <w:r w:rsidRPr="008F04B6">
        <w:rPr>
          <w:rFonts w:ascii="Times New Roman" w:hAnsi="Times New Roman" w:cs="Times New Roman"/>
          <w:sz w:val="26"/>
          <w:szCs w:val="26"/>
        </w:rPr>
        <w:t>phương</w:t>
      </w:r>
      <w:r w:rsidR="00041D32" w:rsidRPr="008F04B6">
        <w:rPr>
          <w:rFonts w:ascii="Times New Roman" w:hAnsi="Times New Roman" w:cs="Times New Roman"/>
          <w:sz w:val="26"/>
          <w:szCs w:val="26"/>
        </w:rPr>
        <w:t xml:space="preserve"> là việc làm cần thiết nhằm phù hợp với sự biến động của thị trường và cũng như phù hợp với lộ trình tăng lương tối thiểu vùng của Chính phủ.</w:t>
      </w:r>
      <w:r w:rsidR="00C22310" w:rsidRPr="008F04B6">
        <w:rPr>
          <w:rFonts w:ascii="Times New Roman" w:hAnsi="Times New Roman" w:cs="Times New Roman"/>
          <w:sz w:val="26"/>
          <w:szCs w:val="26"/>
        </w:rPr>
        <w:t xml:space="preserve"> </w:t>
      </w:r>
    </w:p>
    <w:p w14:paraId="57DE6003" w14:textId="7E825DE3" w:rsidR="00C22310" w:rsidRPr="008F04B6" w:rsidRDefault="00C22310" w:rsidP="00BD3E07">
      <w:pPr>
        <w:spacing w:after="0" w:line="336" w:lineRule="auto"/>
        <w:jc w:val="center"/>
        <w:rPr>
          <w:rFonts w:ascii="Times New Roman" w:hAnsi="Times New Roman" w:cs="Times New Roman"/>
          <w:b/>
          <w:bCs/>
          <w:sz w:val="26"/>
          <w:szCs w:val="26"/>
        </w:rPr>
      </w:pPr>
      <w:r w:rsidRPr="008F04B6">
        <w:rPr>
          <w:rFonts w:ascii="Times New Roman" w:hAnsi="Times New Roman" w:cs="Times New Roman"/>
          <w:b/>
          <w:bCs/>
          <w:sz w:val="26"/>
          <w:szCs w:val="26"/>
        </w:rPr>
        <w:t>Bảng 5. Mức tăng lương tối vùng từ năm 2016 đến năm 2022</w:t>
      </w:r>
    </w:p>
    <w:tbl>
      <w:tblPr>
        <w:tblStyle w:val="GridTable2-Accent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74"/>
        <w:gridCol w:w="1474"/>
        <w:gridCol w:w="1474"/>
        <w:gridCol w:w="1474"/>
        <w:gridCol w:w="1475"/>
      </w:tblGrid>
      <w:tr w:rsidR="00C22310" w:rsidRPr="00EE371A" w14:paraId="06C16050" w14:textId="77777777" w:rsidTr="00BD3E07">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tcPr>
          <w:p w14:paraId="091638D9" w14:textId="77777777" w:rsidR="00C22310" w:rsidRPr="00C22310" w:rsidRDefault="00C22310" w:rsidP="00BD3E07">
            <w:pPr>
              <w:spacing w:after="0" w:line="336" w:lineRule="auto"/>
              <w:ind w:right="138" w:firstLine="0"/>
              <w:jc w:val="center"/>
              <w:rPr>
                <w:rFonts w:ascii="Times New Roman" w:hAnsi="Times New Roman" w:cs="Times New Roman"/>
                <w:b w:val="0"/>
                <w:bCs w:val="0"/>
                <w:szCs w:val="24"/>
              </w:rPr>
            </w:pPr>
            <w:r w:rsidRPr="00C22310">
              <w:rPr>
                <w:rFonts w:ascii="Times New Roman" w:hAnsi="Times New Roman" w:cs="Times New Roman"/>
                <w:szCs w:val="24"/>
              </w:rPr>
              <w:t>TT</w:t>
            </w:r>
          </w:p>
        </w:tc>
        <w:tc>
          <w:tcPr>
            <w:tcW w:w="1474" w:type="dxa"/>
            <w:tcBorders>
              <w:top w:val="none" w:sz="0" w:space="0" w:color="auto"/>
              <w:left w:val="none" w:sz="0" w:space="0" w:color="auto"/>
              <w:bottom w:val="none" w:sz="0" w:space="0" w:color="auto"/>
              <w:right w:val="none" w:sz="0" w:space="0" w:color="auto"/>
            </w:tcBorders>
          </w:tcPr>
          <w:p w14:paraId="348F8392" w14:textId="77777777" w:rsidR="00C22310" w:rsidRPr="00C22310" w:rsidRDefault="00C22310" w:rsidP="00BD3E07">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C22310">
              <w:rPr>
                <w:rFonts w:ascii="Times New Roman" w:hAnsi="Times New Roman" w:cs="Times New Roman"/>
                <w:szCs w:val="24"/>
              </w:rPr>
              <w:t>2017 so với 2016</w:t>
            </w:r>
          </w:p>
        </w:tc>
        <w:tc>
          <w:tcPr>
            <w:tcW w:w="1474" w:type="dxa"/>
            <w:tcBorders>
              <w:top w:val="none" w:sz="0" w:space="0" w:color="auto"/>
              <w:left w:val="none" w:sz="0" w:space="0" w:color="auto"/>
              <w:bottom w:val="none" w:sz="0" w:space="0" w:color="auto"/>
              <w:right w:val="none" w:sz="0" w:space="0" w:color="auto"/>
            </w:tcBorders>
          </w:tcPr>
          <w:p w14:paraId="00B74E5C" w14:textId="77777777" w:rsidR="00C22310" w:rsidRPr="00C22310" w:rsidRDefault="00C22310" w:rsidP="00BD3E07">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C22310">
              <w:rPr>
                <w:rFonts w:ascii="Times New Roman" w:hAnsi="Times New Roman" w:cs="Times New Roman"/>
                <w:szCs w:val="24"/>
              </w:rPr>
              <w:t>2018 so với 2017</w:t>
            </w:r>
          </w:p>
        </w:tc>
        <w:tc>
          <w:tcPr>
            <w:tcW w:w="1474" w:type="dxa"/>
            <w:tcBorders>
              <w:top w:val="none" w:sz="0" w:space="0" w:color="auto"/>
              <w:left w:val="none" w:sz="0" w:space="0" w:color="auto"/>
              <w:bottom w:val="none" w:sz="0" w:space="0" w:color="auto"/>
              <w:right w:val="none" w:sz="0" w:space="0" w:color="auto"/>
            </w:tcBorders>
          </w:tcPr>
          <w:p w14:paraId="1345DC7E" w14:textId="38EE9F6A" w:rsidR="00C22310" w:rsidRPr="00C22310" w:rsidRDefault="00C22310" w:rsidP="00BD3E07">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C22310">
              <w:rPr>
                <w:rFonts w:ascii="Times New Roman" w:hAnsi="Times New Roman" w:cs="Times New Roman"/>
                <w:szCs w:val="24"/>
              </w:rPr>
              <w:t xml:space="preserve">2019 so </w:t>
            </w:r>
            <w:r>
              <w:rPr>
                <w:rFonts w:ascii="Times New Roman" w:hAnsi="Times New Roman" w:cs="Times New Roman"/>
                <w:szCs w:val="24"/>
              </w:rPr>
              <w:t>v</w:t>
            </w:r>
            <w:r w:rsidRPr="00C22310">
              <w:rPr>
                <w:rFonts w:ascii="Times New Roman" w:hAnsi="Times New Roman" w:cs="Times New Roman"/>
                <w:szCs w:val="24"/>
              </w:rPr>
              <w:t>ới 2018</w:t>
            </w:r>
          </w:p>
        </w:tc>
        <w:tc>
          <w:tcPr>
            <w:tcW w:w="1474" w:type="dxa"/>
            <w:tcBorders>
              <w:top w:val="none" w:sz="0" w:space="0" w:color="auto"/>
              <w:left w:val="none" w:sz="0" w:space="0" w:color="auto"/>
              <w:bottom w:val="none" w:sz="0" w:space="0" w:color="auto"/>
              <w:right w:val="none" w:sz="0" w:space="0" w:color="auto"/>
            </w:tcBorders>
          </w:tcPr>
          <w:p w14:paraId="7A2882AC" w14:textId="77692AB4" w:rsidR="00C22310" w:rsidRPr="00C22310" w:rsidRDefault="00C22310" w:rsidP="00BD3E07">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C22310">
              <w:rPr>
                <w:rFonts w:ascii="Times New Roman" w:hAnsi="Times New Roman" w:cs="Times New Roman"/>
                <w:szCs w:val="24"/>
              </w:rPr>
              <w:t>2020 so</w:t>
            </w:r>
            <w:r>
              <w:rPr>
                <w:rFonts w:ascii="Times New Roman" w:hAnsi="Times New Roman" w:cs="Times New Roman"/>
                <w:szCs w:val="24"/>
              </w:rPr>
              <w:t xml:space="preserve"> </w:t>
            </w:r>
            <w:r w:rsidRPr="00C22310">
              <w:rPr>
                <w:rFonts w:ascii="Times New Roman" w:hAnsi="Times New Roman" w:cs="Times New Roman"/>
                <w:szCs w:val="24"/>
              </w:rPr>
              <w:t>với 2019</w:t>
            </w:r>
          </w:p>
        </w:tc>
        <w:tc>
          <w:tcPr>
            <w:tcW w:w="1475" w:type="dxa"/>
            <w:tcBorders>
              <w:top w:val="none" w:sz="0" w:space="0" w:color="auto"/>
              <w:left w:val="none" w:sz="0" w:space="0" w:color="auto"/>
              <w:bottom w:val="none" w:sz="0" w:space="0" w:color="auto"/>
            </w:tcBorders>
          </w:tcPr>
          <w:p w14:paraId="7F29EEF6" w14:textId="22A62E61" w:rsidR="00C22310" w:rsidRPr="00C22310" w:rsidRDefault="00C22310" w:rsidP="00BD3E07">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C22310">
              <w:rPr>
                <w:rFonts w:ascii="Times New Roman" w:hAnsi="Times New Roman" w:cs="Times New Roman"/>
                <w:szCs w:val="24"/>
              </w:rPr>
              <w:t xml:space="preserve">2022 so </w:t>
            </w:r>
            <w:r>
              <w:rPr>
                <w:rFonts w:ascii="Times New Roman" w:hAnsi="Times New Roman" w:cs="Times New Roman"/>
                <w:szCs w:val="24"/>
              </w:rPr>
              <w:t>v</w:t>
            </w:r>
            <w:r w:rsidRPr="00C22310">
              <w:rPr>
                <w:rFonts w:ascii="Times New Roman" w:hAnsi="Times New Roman" w:cs="Times New Roman"/>
                <w:szCs w:val="24"/>
              </w:rPr>
              <w:t>ới 2020</w:t>
            </w:r>
          </w:p>
        </w:tc>
      </w:tr>
      <w:tr w:rsidR="00C22310" w:rsidRPr="00EE371A" w14:paraId="0F13AB78" w14:textId="77777777" w:rsidTr="00BD3E07">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838" w:type="dxa"/>
          </w:tcPr>
          <w:p w14:paraId="439883CD" w14:textId="507E8D85" w:rsidR="00C22310" w:rsidRPr="00C22310" w:rsidRDefault="00C22310" w:rsidP="00BD3E07">
            <w:pPr>
              <w:spacing w:after="0" w:line="336" w:lineRule="auto"/>
              <w:ind w:firstLine="0"/>
              <w:jc w:val="center"/>
              <w:rPr>
                <w:rFonts w:ascii="Times New Roman" w:hAnsi="Times New Roman" w:cs="Times New Roman"/>
                <w:sz w:val="26"/>
                <w:szCs w:val="26"/>
              </w:rPr>
            </w:pPr>
            <w:r w:rsidRPr="00C22310">
              <w:rPr>
                <w:rFonts w:ascii="Times New Roman" w:hAnsi="Times New Roman" w:cs="Times New Roman"/>
                <w:sz w:val="26"/>
                <w:szCs w:val="26"/>
              </w:rPr>
              <w:t>Mức</w:t>
            </w:r>
            <w:r w:rsidR="005319B9">
              <w:rPr>
                <w:rFonts w:ascii="Times New Roman" w:hAnsi="Times New Roman" w:cs="Times New Roman"/>
                <w:sz w:val="26"/>
                <w:szCs w:val="26"/>
              </w:rPr>
              <w:t xml:space="preserve"> </w:t>
            </w:r>
            <w:r w:rsidRPr="00C22310">
              <w:rPr>
                <w:rFonts w:ascii="Times New Roman" w:hAnsi="Times New Roman" w:cs="Times New Roman"/>
                <w:sz w:val="26"/>
                <w:szCs w:val="26"/>
              </w:rPr>
              <w:t>tăng bình quân</w:t>
            </w:r>
          </w:p>
        </w:tc>
        <w:tc>
          <w:tcPr>
            <w:tcW w:w="1474" w:type="dxa"/>
          </w:tcPr>
          <w:p w14:paraId="4D0525CA" w14:textId="77777777" w:rsidR="00C22310" w:rsidRPr="00C22310" w:rsidRDefault="00C22310" w:rsidP="00BD3E07">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C22310">
              <w:rPr>
                <w:rFonts w:ascii="Times New Roman" w:hAnsi="Times New Roman" w:cs="Times New Roman"/>
                <w:sz w:val="26"/>
                <w:szCs w:val="26"/>
              </w:rPr>
              <w:t>7,5%</w:t>
            </w:r>
          </w:p>
        </w:tc>
        <w:tc>
          <w:tcPr>
            <w:tcW w:w="1474" w:type="dxa"/>
          </w:tcPr>
          <w:p w14:paraId="598799D0" w14:textId="77777777" w:rsidR="00C22310" w:rsidRPr="00C22310" w:rsidRDefault="00C22310" w:rsidP="00BD3E07">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C22310">
              <w:rPr>
                <w:rFonts w:ascii="Times New Roman" w:hAnsi="Times New Roman" w:cs="Times New Roman"/>
                <w:sz w:val="26"/>
                <w:szCs w:val="26"/>
              </w:rPr>
              <w:t>7,0%</w:t>
            </w:r>
          </w:p>
        </w:tc>
        <w:tc>
          <w:tcPr>
            <w:tcW w:w="1474" w:type="dxa"/>
          </w:tcPr>
          <w:p w14:paraId="42249BD3" w14:textId="77777777" w:rsidR="00C22310" w:rsidRPr="00C22310" w:rsidRDefault="00C22310" w:rsidP="00BD3E07">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C22310">
              <w:rPr>
                <w:rFonts w:ascii="Times New Roman" w:hAnsi="Times New Roman" w:cs="Times New Roman"/>
                <w:sz w:val="26"/>
                <w:szCs w:val="26"/>
              </w:rPr>
              <w:t>5,8%</w:t>
            </w:r>
          </w:p>
        </w:tc>
        <w:tc>
          <w:tcPr>
            <w:tcW w:w="1474" w:type="dxa"/>
          </w:tcPr>
          <w:p w14:paraId="117AD0A3" w14:textId="77777777" w:rsidR="00C22310" w:rsidRPr="00C22310" w:rsidRDefault="00C22310" w:rsidP="00BD3E07">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C22310">
              <w:rPr>
                <w:rFonts w:ascii="Times New Roman" w:hAnsi="Times New Roman" w:cs="Times New Roman"/>
                <w:sz w:val="26"/>
                <w:szCs w:val="26"/>
              </w:rPr>
              <w:t>5,7%</w:t>
            </w:r>
          </w:p>
        </w:tc>
        <w:tc>
          <w:tcPr>
            <w:tcW w:w="1475" w:type="dxa"/>
          </w:tcPr>
          <w:p w14:paraId="2FA2AEAB" w14:textId="77777777" w:rsidR="00C22310" w:rsidRPr="00C22310" w:rsidRDefault="00C22310" w:rsidP="00BD3E07">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C22310">
              <w:rPr>
                <w:rFonts w:ascii="Times New Roman" w:hAnsi="Times New Roman" w:cs="Times New Roman"/>
                <w:sz w:val="26"/>
                <w:szCs w:val="26"/>
              </w:rPr>
              <w:t>6,1%</w:t>
            </w:r>
          </w:p>
        </w:tc>
      </w:tr>
    </w:tbl>
    <w:p w14:paraId="18CA55E1" w14:textId="77777777" w:rsidR="00C22310" w:rsidRDefault="00C22310" w:rsidP="00BD3E07">
      <w:pPr>
        <w:spacing w:after="0" w:line="336" w:lineRule="auto"/>
        <w:ind w:right="-1" w:firstLine="567"/>
        <w:rPr>
          <w:rFonts w:ascii="Times New Roman" w:hAnsi="Times New Roman" w:cs="Times New Roman"/>
          <w:sz w:val="26"/>
          <w:szCs w:val="26"/>
        </w:rPr>
      </w:pPr>
    </w:p>
    <w:p w14:paraId="67C002CD" w14:textId="5B0AB2D0" w:rsidR="00D05F03" w:rsidRPr="00733486" w:rsidRDefault="005319B9" w:rsidP="00BD3E07">
      <w:pPr>
        <w:spacing w:after="0" w:line="336" w:lineRule="auto"/>
        <w:ind w:right="-1" w:firstLine="567"/>
        <w:rPr>
          <w:rFonts w:ascii="Times New Roman" w:hAnsi="Times New Roman" w:cs="Times New Roman"/>
          <w:sz w:val="26"/>
          <w:szCs w:val="26"/>
        </w:rPr>
      </w:pPr>
      <w:r>
        <w:rPr>
          <w:rFonts w:ascii="Times New Roman" w:hAnsi="Times New Roman" w:cs="Times New Roman"/>
          <w:sz w:val="26"/>
          <w:szCs w:val="26"/>
        </w:rPr>
        <w:t xml:space="preserve">Năm 2021 do ảnh hưởng của dịch Covid-19 nên Chính phủ không điều chỉnh mức lương tối thiểu vùng. </w:t>
      </w:r>
      <w:r w:rsidR="00C22310" w:rsidRPr="00C22310">
        <w:rPr>
          <w:rFonts w:ascii="Times New Roman" w:hAnsi="Times New Roman" w:cs="Times New Roman"/>
          <w:sz w:val="26"/>
          <w:szCs w:val="26"/>
        </w:rPr>
        <w:t>Qua bảng số liệu trên cho thấy, mức lương tối thiểu vùng hàng năm được điều chỉnh tăng bình quân từ 5,3%÷7,3%. Mức tăng cộng dồn từ năm 2016 đến nay khoảng 35%.</w:t>
      </w:r>
      <w:r w:rsidR="00041D32" w:rsidRPr="00733486">
        <w:rPr>
          <w:rFonts w:ascii="Times New Roman" w:hAnsi="Times New Roman" w:cs="Times New Roman"/>
          <w:sz w:val="26"/>
          <w:szCs w:val="26"/>
        </w:rPr>
        <w:t xml:space="preserve"> Tuy nhiên </w:t>
      </w:r>
      <w:r>
        <w:rPr>
          <w:rFonts w:ascii="Times New Roman" w:hAnsi="Times New Roman" w:cs="Times New Roman"/>
          <w:sz w:val="26"/>
          <w:szCs w:val="26"/>
        </w:rPr>
        <w:t xml:space="preserve">nếu điều chỉnh khung đơn giá nhân công </w:t>
      </w:r>
      <w:r w:rsidR="00041D32" w:rsidRPr="00733486">
        <w:rPr>
          <w:rFonts w:ascii="Times New Roman" w:hAnsi="Times New Roman" w:cs="Times New Roman"/>
          <w:sz w:val="26"/>
          <w:szCs w:val="26"/>
        </w:rPr>
        <w:t>sẽ làm tăng chi ngân sách của địa phương vốn dĩ đã luôn thiếu</w:t>
      </w:r>
      <w:r w:rsidR="00AA4418">
        <w:rPr>
          <w:rFonts w:ascii="Times New Roman" w:hAnsi="Times New Roman" w:cs="Times New Roman"/>
          <w:sz w:val="26"/>
          <w:szCs w:val="26"/>
        </w:rPr>
        <w:t xml:space="preserve"> hụt</w:t>
      </w:r>
      <w:r w:rsidR="00041D32" w:rsidRPr="00733486">
        <w:rPr>
          <w:rFonts w:ascii="Times New Roman" w:hAnsi="Times New Roman" w:cs="Times New Roman"/>
          <w:sz w:val="26"/>
          <w:szCs w:val="26"/>
        </w:rPr>
        <w:t xml:space="preserve">. </w:t>
      </w:r>
    </w:p>
    <w:p w14:paraId="6C9D23FE" w14:textId="5DE0063A" w:rsidR="00733486" w:rsidRDefault="00041D32"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 xml:space="preserve">Trong thời gian qua, </w:t>
      </w:r>
      <w:r w:rsidR="00EA560E" w:rsidRPr="00733486">
        <w:rPr>
          <w:rFonts w:ascii="Times New Roman" w:hAnsi="Times New Roman" w:cs="Times New Roman"/>
          <w:sz w:val="26"/>
          <w:szCs w:val="26"/>
        </w:rPr>
        <w:t>thị trường nhân công xây dựng tương đối ổn định, mức tăng phù hợp với sự tăng trưởng của ngành xây dựng cũng như của nền kinh tế nói chung, không có những biến động bất thường. Trong khi đó giá nhiên liệu, giá một số vật liệu chủ yếu như sắt thép, cát đá</w:t>
      </w:r>
      <w:r w:rsidR="00900D3E" w:rsidRPr="00733486">
        <w:rPr>
          <w:rFonts w:ascii="Times New Roman" w:hAnsi="Times New Roman" w:cs="Times New Roman"/>
          <w:sz w:val="26"/>
          <w:szCs w:val="26"/>
        </w:rPr>
        <w:t xml:space="preserve">… hoặc chi phí thuê máy </w:t>
      </w:r>
      <w:r w:rsidR="00EA560E" w:rsidRPr="00733486">
        <w:rPr>
          <w:rFonts w:ascii="Times New Roman" w:hAnsi="Times New Roman" w:cs="Times New Roman"/>
          <w:sz w:val="26"/>
          <w:szCs w:val="26"/>
        </w:rPr>
        <w:t>tăng cao</w:t>
      </w:r>
      <w:r w:rsidR="00900D3E" w:rsidRPr="00733486">
        <w:rPr>
          <w:rFonts w:ascii="Times New Roman" w:hAnsi="Times New Roman" w:cs="Times New Roman"/>
          <w:sz w:val="26"/>
          <w:szCs w:val="26"/>
        </w:rPr>
        <w:t xml:space="preserve"> là nguyên nhân chủ yếu dẫn đến </w:t>
      </w:r>
      <w:r w:rsidR="00900D3E" w:rsidRPr="00733486">
        <w:rPr>
          <w:rFonts w:ascii="Times New Roman" w:hAnsi="Times New Roman" w:cs="Times New Roman"/>
          <w:sz w:val="26"/>
          <w:szCs w:val="26"/>
        </w:rPr>
        <w:lastRenderedPageBreak/>
        <w:t>tình trạng tỷ lệ chi phí nhân công trong xây dựng có xu hướng giảm, trong khi đó năng suất của công nhân ngành xây dựng không có nhiều thay đổi. Trên thế giới các nước có ngành công nghiệp xây dựng phát triển, áp dụng công nghệ hiện đại, tỷ lệ tự động hóa, cơ giới hóa cao như Nhật Bản, Mỹ… (</w:t>
      </w:r>
      <w:r w:rsidR="00616170" w:rsidRPr="00733486">
        <w:rPr>
          <w:rFonts w:ascii="Times New Roman" w:hAnsi="Times New Roman" w:cs="Times New Roman"/>
          <w:sz w:val="26"/>
          <w:szCs w:val="26"/>
        </w:rPr>
        <w:t>ví dụ như máy đào máy xúc không cần thợ lái máy mà chỉ cần điểu khiển từ xa, công tác khảo sát sử dụng máy bay không người lái…), năng suất lao động ngày càng được cải thiện, x</w:t>
      </w:r>
      <w:r w:rsidR="00900D3E" w:rsidRPr="00733486">
        <w:rPr>
          <w:rFonts w:ascii="Times New Roman" w:hAnsi="Times New Roman" w:cs="Times New Roman"/>
          <w:sz w:val="26"/>
          <w:szCs w:val="26"/>
        </w:rPr>
        <w:t xml:space="preserve">u hướng tỷ trọng chi phí nhân công trong dự toán giảm dần là </w:t>
      </w:r>
      <w:r w:rsidR="00616170" w:rsidRPr="00733486">
        <w:rPr>
          <w:rFonts w:ascii="Times New Roman" w:hAnsi="Times New Roman" w:cs="Times New Roman"/>
          <w:sz w:val="26"/>
          <w:szCs w:val="26"/>
        </w:rPr>
        <w:t xml:space="preserve">tất yếu. Tuy nhiên, tại Việt Nam, tỷ trọng chi phí nhân công trong dự toán giảm </w:t>
      </w:r>
      <w:r w:rsidR="00C076A5" w:rsidRPr="00733486">
        <w:rPr>
          <w:rFonts w:ascii="Times New Roman" w:hAnsi="Times New Roman" w:cs="Times New Roman"/>
          <w:sz w:val="26"/>
          <w:szCs w:val="26"/>
        </w:rPr>
        <w:t>là</w:t>
      </w:r>
      <w:r w:rsidR="00616170" w:rsidRPr="00733486">
        <w:rPr>
          <w:rFonts w:ascii="Times New Roman" w:hAnsi="Times New Roman" w:cs="Times New Roman"/>
          <w:sz w:val="26"/>
          <w:szCs w:val="26"/>
        </w:rPr>
        <w:t xml:space="preserve"> do các yếu tố không tích cực nói trên</w:t>
      </w:r>
      <w:r w:rsidR="00C076A5" w:rsidRPr="00733486">
        <w:rPr>
          <w:rFonts w:ascii="Times New Roman" w:hAnsi="Times New Roman" w:cs="Times New Roman"/>
          <w:sz w:val="26"/>
          <w:szCs w:val="26"/>
        </w:rPr>
        <w:t xml:space="preserve"> chứ không phải các yếu tố tích cực do tăng năng suất lao động hay tăng tỷ lệ tự động hóa, cơ giới hóa</w:t>
      </w:r>
      <w:r w:rsidR="00616170" w:rsidRPr="00733486">
        <w:rPr>
          <w:rFonts w:ascii="Times New Roman" w:hAnsi="Times New Roman" w:cs="Times New Roman"/>
          <w:sz w:val="26"/>
          <w:szCs w:val="26"/>
        </w:rPr>
        <w:t xml:space="preserve">. </w:t>
      </w:r>
    </w:p>
    <w:p w14:paraId="5C7AECAF" w14:textId="35244498" w:rsidR="00733486" w:rsidRDefault="00616170"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 xml:space="preserve">Ở Việt Nam, đối với các dự án có nguồn vốn đầu tư công, </w:t>
      </w:r>
      <w:r w:rsidR="00C076A5" w:rsidRPr="00733486">
        <w:rPr>
          <w:rFonts w:ascii="Times New Roman" w:hAnsi="Times New Roman" w:cs="Times New Roman"/>
          <w:sz w:val="26"/>
          <w:szCs w:val="26"/>
        </w:rPr>
        <w:t xml:space="preserve">thông thường </w:t>
      </w:r>
      <w:r w:rsidRPr="00733486">
        <w:rPr>
          <w:rFonts w:ascii="Times New Roman" w:hAnsi="Times New Roman" w:cs="Times New Roman"/>
          <w:sz w:val="26"/>
          <w:szCs w:val="26"/>
        </w:rPr>
        <w:t>chi phí nhân công trong dự toán được xác định trên cơ sở định mức hao phí nhân công</w:t>
      </w:r>
      <w:r w:rsidR="00C076A5" w:rsidRPr="00733486">
        <w:rPr>
          <w:rFonts w:ascii="Times New Roman" w:hAnsi="Times New Roman" w:cs="Times New Roman"/>
          <w:sz w:val="26"/>
          <w:szCs w:val="26"/>
        </w:rPr>
        <w:t xml:space="preserve"> do nhà nước quy định</w:t>
      </w:r>
      <w:r w:rsidRPr="00733486">
        <w:rPr>
          <w:rFonts w:ascii="Times New Roman" w:hAnsi="Times New Roman" w:cs="Times New Roman"/>
          <w:sz w:val="26"/>
          <w:szCs w:val="26"/>
        </w:rPr>
        <w:t xml:space="preserve"> </w:t>
      </w:r>
      <w:r w:rsidR="00C076A5" w:rsidRPr="00733486">
        <w:rPr>
          <w:rFonts w:ascii="Times New Roman" w:hAnsi="Times New Roman" w:cs="Times New Roman"/>
          <w:sz w:val="26"/>
          <w:szCs w:val="26"/>
        </w:rPr>
        <w:t>và đơn giá nhân công công bố của địa phương. Mức hao phí trong hệ thống định mức của nhà nước là mức hao phí chung, bình quân cho toàn ngành xây dựng và nhiều định mức đã lạc hậu chưa được điều chỉnh phù hợp với công nghệ thi công mới. Tuy nhiên, trong thực tế ở các địa phương và mỗi công trình cụ thể, khi sử dụng lao động các nhà thầu thường lựa chọn các lao động phù hợp với công việc, có các biện pháp tích cực thúc đẩy tăng năng suất lao động, đôi khi tăng cường độ làm việc do vậy hao phí lao động thực tế cho một đơn vị sản phẩm nói chung thường thấp hơn trong hệ thống định mức của nhà nước. Điều này</w:t>
      </w:r>
      <w:r w:rsidR="00AA4418">
        <w:rPr>
          <w:rFonts w:ascii="Times New Roman" w:hAnsi="Times New Roman" w:cs="Times New Roman"/>
          <w:sz w:val="26"/>
          <w:szCs w:val="26"/>
        </w:rPr>
        <w:t xml:space="preserve"> là một phần</w:t>
      </w:r>
      <w:r w:rsidR="00C076A5" w:rsidRPr="00733486">
        <w:rPr>
          <w:rFonts w:ascii="Times New Roman" w:hAnsi="Times New Roman" w:cs="Times New Roman"/>
          <w:sz w:val="26"/>
          <w:szCs w:val="26"/>
        </w:rPr>
        <w:t xml:space="preserve"> dẫn đến người lao động được trả lương cao hơn đơn giá nhân công đầu vào do nhà nước quy định. </w:t>
      </w:r>
    </w:p>
    <w:p w14:paraId="5B457D13" w14:textId="452A671E" w:rsidR="00C076A5" w:rsidRPr="00733486" w:rsidRDefault="00C076A5" w:rsidP="00BD3E07">
      <w:pPr>
        <w:spacing w:after="0" w:line="336" w:lineRule="auto"/>
        <w:ind w:right="-1" w:firstLine="567"/>
        <w:rPr>
          <w:rFonts w:ascii="Times New Roman" w:hAnsi="Times New Roman" w:cs="Times New Roman"/>
          <w:sz w:val="26"/>
          <w:szCs w:val="26"/>
        </w:rPr>
      </w:pPr>
      <w:r w:rsidRPr="00733486">
        <w:rPr>
          <w:rFonts w:ascii="Times New Roman" w:hAnsi="Times New Roman" w:cs="Times New Roman"/>
          <w:sz w:val="26"/>
          <w:szCs w:val="26"/>
        </w:rPr>
        <w:t xml:space="preserve">Song song với việc nới rộng khung đơn giá nhân công </w:t>
      </w:r>
      <w:r w:rsidR="00AC71B6">
        <w:rPr>
          <w:rFonts w:ascii="Times New Roman" w:hAnsi="Times New Roman" w:cs="Times New Roman"/>
          <w:sz w:val="26"/>
          <w:szCs w:val="26"/>
        </w:rPr>
        <w:t xml:space="preserve">phù hợp với thực tế, </w:t>
      </w:r>
      <w:r w:rsidRPr="00733486">
        <w:rPr>
          <w:rFonts w:ascii="Times New Roman" w:hAnsi="Times New Roman" w:cs="Times New Roman"/>
          <w:sz w:val="26"/>
          <w:szCs w:val="26"/>
        </w:rPr>
        <w:t xml:space="preserve">nhằm đảm bảo quyền lợi cho doanh nghiệp và người lao động, </w:t>
      </w:r>
      <w:r w:rsidR="00733486" w:rsidRPr="00733486">
        <w:rPr>
          <w:rFonts w:ascii="Times New Roman" w:hAnsi="Times New Roman" w:cs="Times New Roman"/>
          <w:sz w:val="26"/>
          <w:szCs w:val="26"/>
        </w:rPr>
        <w:t>cần thiết hoàn thiện hệ thống định mức dự toán.</w:t>
      </w:r>
    </w:p>
    <w:p w14:paraId="241E6A99" w14:textId="77777777" w:rsidR="000F77C4" w:rsidRPr="00733486" w:rsidRDefault="000F77C4" w:rsidP="00BD3E07">
      <w:pPr>
        <w:spacing w:after="0" w:line="336" w:lineRule="auto"/>
        <w:ind w:firstLine="0"/>
        <w:rPr>
          <w:rFonts w:ascii="Times New Roman" w:hAnsi="Times New Roman" w:cs="Times New Roman"/>
          <w:b/>
          <w:sz w:val="26"/>
          <w:szCs w:val="26"/>
          <w:lang w:val="de-DE"/>
        </w:rPr>
      </w:pPr>
      <w:r w:rsidRPr="00733486">
        <w:rPr>
          <w:rFonts w:ascii="Times New Roman" w:hAnsi="Times New Roman" w:cs="Times New Roman"/>
          <w:b/>
          <w:bCs/>
          <w:sz w:val="26"/>
          <w:szCs w:val="26"/>
        </w:rPr>
        <w:t>IV</w:t>
      </w:r>
      <w:r w:rsidRPr="00733486">
        <w:rPr>
          <w:rFonts w:ascii="Times New Roman" w:hAnsi="Times New Roman" w:cs="Times New Roman"/>
          <w:sz w:val="26"/>
          <w:szCs w:val="26"/>
        </w:rPr>
        <w:t xml:space="preserve">. </w:t>
      </w:r>
      <w:r w:rsidRPr="00733486">
        <w:rPr>
          <w:rFonts w:ascii="Times New Roman" w:hAnsi="Times New Roman" w:cs="Times New Roman"/>
          <w:b/>
          <w:sz w:val="26"/>
          <w:szCs w:val="26"/>
          <w:lang w:val="de-DE"/>
        </w:rPr>
        <w:t>Dự báo cho kỳ tiếp theo</w:t>
      </w:r>
    </w:p>
    <w:p w14:paraId="3DEC2B60" w14:textId="1A892B0E" w:rsidR="000F77C4" w:rsidRPr="00733486" w:rsidRDefault="000F77C4" w:rsidP="00BD3E07">
      <w:pPr>
        <w:pStyle w:val="NormalWeb"/>
        <w:shd w:val="clear" w:color="auto" w:fill="FFFFFF"/>
        <w:spacing w:before="0" w:beforeAutospacing="0" w:after="0" w:afterAutospacing="0" w:line="336" w:lineRule="auto"/>
        <w:ind w:firstLine="567"/>
        <w:jc w:val="both"/>
        <w:textAlignment w:val="baseline"/>
        <w:rPr>
          <w:sz w:val="26"/>
          <w:szCs w:val="26"/>
        </w:rPr>
      </w:pPr>
      <w:r w:rsidRPr="00733486">
        <w:rPr>
          <w:sz w:val="26"/>
          <w:szCs w:val="26"/>
        </w:rPr>
        <w:tab/>
        <w:t>Các tháng cuối năm 202</w:t>
      </w:r>
      <w:r w:rsidR="00AC71B6">
        <w:rPr>
          <w:sz w:val="26"/>
          <w:szCs w:val="26"/>
        </w:rPr>
        <w:t>3</w:t>
      </w:r>
      <w:r w:rsidRPr="00733486">
        <w:rPr>
          <w:sz w:val="26"/>
          <w:szCs w:val="26"/>
        </w:rPr>
        <w:t>,</w:t>
      </w:r>
      <w:r w:rsidR="00AC71B6">
        <w:rPr>
          <w:sz w:val="26"/>
          <w:szCs w:val="26"/>
        </w:rPr>
        <w:t xml:space="preserve"> các dự án cao tốc Bắc - Nam tiếp tục thi công theo tiến độ, một số các dự án hạ tầng </w:t>
      </w:r>
      <w:r w:rsidR="005319B9">
        <w:rPr>
          <w:sz w:val="26"/>
          <w:szCs w:val="26"/>
        </w:rPr>
        <w:t xml:space="preserve">trọng điểm </w:t>
      </w:r>
      <w:r w:rsidR="00AC71B6">
        <w:rPr>
          <w:sz w:val="26"/>
          <w:szCs w:val="26"/>
        </w:rPr>
        <w:t>khác tiếp tục được khởi công cùng các dự án khu công nghiệp sẽ là động lực cho thị trường lao động ngành xây dựng sôi động. Thông thường các tháng cuối năm Chính phủ sẽ thúc đẩy các Bộ, ban, ngành đẩy nhanh tiến độ giải ngân theo kế hoạch sẽ là nguyên nhân chính giúp tăng trưởng của ngành xây dựng vươn lên.</w:t>
      </w:r>
    </w:p>
    <w:p w14:paraId="2848D9C5" w14:textId="77777777" w:rsidR="000F77C4" w:rsidRPr="00733486" w:rsidRDefault="000F77C4" w:rsidP="00BD3E07">
      <w:pPr>
        <w:spacing w:after="0" w:line="336" w:lineRule="auto"/>
        <w:ind w:right="-34" w:firstLine="0"/>
        <w:rPr>
          <w:rFonts w:ascii="Times New Roman" w:hAnsi="Times New Roman" w:cs="Times New Roman"/>
          <w:b/>
          <w:sz w:val="26"/>
          <w:szCs w:val="26"/>
          <w:lang w:val="de-DE"/>
        </w:rPr>
      </w:pPr>
      <w:r w:rsidRPr="00733486">
        <w:rPr>
          <w:rFonts w:ascii="Times New Roman" w:hAnsi="Times New Roman" w:cs="Times New Roman"/>
          <w:b/>
          <w:sz w:val="26"/>
          <w:szCs w:val="26"/>
          <w:lang w:val="de-DE"/>
        </w:rPr>
        <w:t>IV.  Kết luận và kiến nghị</w:t>
      </w:r>
    </w:p>
    <w:p w14:paraId="20552630" w14:textId="18A023CB" w:rsidR="007F33D5" w:rsidRDefault="000F77C4" w:rsidP="00BD3E07">
      <w:pPr>
        <w:spacing w:after="0" w:line="336" w:lineRule="auto"/>
        <w:ind w:right="-1" w:firstLine="567"/>
        <w:rPr>
          <w:rFonts w:ascii="Times New Roman" w:hAnsi="Times New Roman" w:cs="Times New Roman"/>
          <w:sz w:val="26"/>
          <w:szCs w:val="26"/>
          <w:lang w:val="de-DE"/>
        </w:rPr>
      </w:pPr>
      <w:r w:rsidRPr="00733486">
        <w:rPr>
          <w:rFonts w:ascii="Times New Roman" w:hAnsi="Times New Roman" w:cs="Times New Roman"/>
          <w:b/>
          <w:sz w:val="26"/>
          <w:szCs w:val="26"/>
          <w:lang w:val="de-DE"/>
        </w:rPr>
        <w:tab/>
      </w:r>
      <w:r w:rsidRPr="00733486">
        <w:rPr>
          <w:rFonts w:ascii="Times New Roman" w:hAnsi="Times New Roman" w:cs="Times New Roman"/>
          <w:sz w:val="26"/>
          <w:szCs w:val="26"/>
          <w:lang w:val="de-DE"/>
        </w:rPr>
        <w:t xml:space="preserve">Trên cơ sở kết quả nghiên cứu, Viện Kinh tế xây dựng có báo cáo tình hình diễn biến thị trường nhân công xây dựng 6 </w:t>
      </w:r>
      <w:r w:rsidR="00A7605A">
        <w:rPr>
          <w:rFonts w:ascii="Times New Roman" w:hAnsi="Times New Roman" w:cs="Times New Roman"/>
          <w:sz w:val="26"/>
          <w:szCs w:val="26"/>
          <w:lang w:val="de-DE"/>
        </w:rPr>
        <w:t xml:space="preserve">tháng </w:t>
      </w:r>
      <w:r w:rsidR="007F33D5">
        <w:rPr>
          <w:rFonts w:ascii="Times New Roman" w:hAnsi="Times New Roman" w:cs="Times New Roman"/>
          <w:sz w:val="26"/>
          <w:szCs w:val="26"/>
          <w:lang w:val="de-DE"/>
        </w:rPr>
        <w:t>đầu</w:t>
      </w:r>
      <w:r w:rsidRPr="00733486">
        <w:rPr>
          <w:rFonts w:ascii="Times New Roman" w:hAnsi="Times New Roman" w:cs="Times New Roman"/>
          <w:sz w:val="26"/>
          <w:szCs w:val="26"/>
          <w:lang w:val="de-DE"/>
        </w:rPr>
        <w:t xml:space="preserve"> năm 202</w:t>
      </w:r>
      <w:r w:rsidR="007F33D5">
        <w:rPr>
          <w:rFonts w:ascii="Times New Roman" w:hAnsi="Times New Roman" w:cs="Times New Roman"/>
          <w:sz w:val="26"/>
          <w:szCs w:val="26"/>
          <w:lang w:val="de-DE"/>
        </w:rPr>
        <w:t>3</w:t>
      </w:r>
      <w:r w:rsidRPr="00733486">
        <w:rPr>
          <w:rFonts w:ascii="Times New Roman" w:hAnsi="Times New Roman" w:cs="Times New Roman"/>
          <w:sz w:val="26"/>
          <w:szCs w:val="26"/>
          <w:lang w:val="de-DE"/>
        </w:rPr>
        <w:t xml:space="preserve"> như trên và có một số kiến nghị như sau:</w:t>
      </w:r>
    </w:p>
    <w:p w14:paraId="1D28F5DC" w14:textId="35F05474" w:rsidR="000F77C4" w:rsidRDefault="00CE50BE" w:rsidP="00BD3E07">
      <w:pPr>
        <w:spacing w:after="0" w:line="336" w:lineRule="auto"/>
        <w:ind w:right="-1" w:firstLine="567"/>
        <w:rPr>
          <w:rFonts w:ascii="Times New Roman" w:hAnsi="Times New Roman" w:cs="Times New Roman"/>
          <w:sz w:val="26"/>
          <w:szCs w:val="26"/>
          <w:lang w:val="de-DE"/>
        </w:rPr>
      </w:pPr>
      <w:r>
        <w:rPr>
          <w:rFonts w:ascii="Times New Roman" w:hAnsi="Times New Roman" w:cs="Times New Roman"/>
          <w:sz w:val="26"/>
          <w:szCs w:val="26"/>
          <w:lang w:val="de-DE"/>
        </w:rPr>
        <w:lastRenderedPageBreak/>
        <w:t xml:space="preserve">- </w:t>
      </w:r>
      <w:r w:rsidR="007F33D5" w:rsidRPr="007F33D5">
        <w:rPr>
          <w:rFonts w:ascii="Times New Roman" w:hAnsi="Times New Roman" w:cs="Times New Roman"/>
          <w:sz w:val="26"/>
          <w:szCs w:val="26"/>
          <w:lang w:val="de-DE"/>
        </w:rPr>
        <w:t>Kiến nghị Bộ X</w:t>
      </w:r>
      <w:r w:rsidR="007F33D5">
        <w:rPr>
          <w:rFonts w:ascii="Times New Roman" w:hAnsi="Times New Roman" w:cs="Times New Roman"/>
          <w:sz w:val="26"/>
          <w:szCs w:val="26"/>
          <w:lang w:val="de-DE"/>
        </w:rPr>
        <w:t>â</w:t>
      </w:r>
      <w:r w:rsidR="007F33D5" w:rsidRPr="007F33D5">
        <w:rPr>
          <w:rFonts w:ascii="Times New Roman" w:hAnsi="Times New Roman" w:cs="Times New Roman"/>
          <w:sz w:val="26"/>
          <w:szCs w:val="26"/>
          <w:lang w:val="de-DE"/>
        </w:rPr>
        <w:t xml:space="preserve">y dựng việc điều chỉnh khung đơn giá nhân công </w:t>
      </w:r>
      <w:r>
        <w:rPr>
          <w:rFonts w:ascii="Times New Roman" w:hAnsi="Times New Roman" w:cs="Times New Roman"/>
          <w:sz w:val="26"/>
          <w:szCs w:val="26"/>
          <w:lang w:val="de-DE"/>
        </w:rPr>
        <w:t xml:space="preserve">(cả mức tối thiểu và mức tối đa) </w:t>
      </w:r>
      <w:r w:rsidR="007F33D5" w:rsidRPr="007F33D5">
        <w:rPr>
          <w:rFonts w:ascii="Times New Roman" w:hAnsi="Times New Roman" w:cs="Times New Roman"/>
          <w:sz w:val="26"/>
          <w:szCs w:val="26"/>
          <w:lang w:val="de-DE"/>
        </w:rPr>
        <w:t>dựa trên cơ sở phân tích đánh giá bất cập của khung đơn giá nhân công hiện hành</w:t>
      </w:r>
      <w:r w:rsidR="00A7605A">
        <w:rPr>
          <w:rFonts w:ascii="Times New Roman" w:hAnsi="Times New Roman" w:cs="Times New Roman"/>
          <w:sz w:val="26"/>
          <w:szCs w:val="26"/>
          <w:lang w:val="de-DE"/>
        </w:rPr>
        <w:t>,</w:t>
      </w:r>
      <w:r w:rsidR="007F33D5" w:rsidRPr="007F33D5">
        <w:rPr>
          <w:rFonts w:ascii="Times New Roman" w:hAnsi="Times New Roman" w:cs="Times New Roman"/>
          <w:sz w:val="26"/>
          <w:szCs w:val="26"/>
          <w:lang w:val="de-DE"/>
        </w:rPr>
        <w:t xml:space="preserve"> mức độ biến động của tiền lương tối thiểu vùng trong giai đoạn vừa qua</w:t>
      </w:r>
      <w:r w:rsidR="00A7605A">
        <w:rPr>
          <w:rFonts w:ascii="Times New Roman" w:hAnsi="Times New Roman" w:cs="Times New Roman"/>
          <w:sz w:val="26"/>
          <w:szCs w:val="26"/>
          <w:lang w:val="de-DE"/>
        </w:rPr>
        <w:t xml:space="preserve"> và</w:t>
      </w:r>
      <w:r w:rsidR="007F33D5" w:rsidRPr="007F33D5">
        <w:rPr>
          <w:rFonts w:ascii="Times New Roman" w:hAnsi="Times New Roman" w:cs="Times New Roman"/>
          <w:sz w:val="26"/>
          <w:szCs w:val="26"/>
          <w:lang w:val="de-DE"/>
        </w:rPr>
        <w:t xml:space="preserve"> mặt bằng tiền lương thực tế của thị trường</w:t>
      </w:r>
      <w:r w:rsidR="003C5454">
        <w:rPr>
          <w:rFonts w:ascii="Times New Roman" w:hAnsi="Times New Roman" w:cs="Times New Roman"/>
          <w:sz w:val="26"/>
          <w:szCs w:val="26"/>
          <w:lang w:val="de-DE"/>
        </w:rPr>
        <w:t>.</w:t>
      </w:r>
    </w:p>
    <w:p w14:paraId="35AAFF8A" w14:textId="05AE8F57" w:rsidR="007725FE" w:rsidRPr="00733486" w:rsidRDefault="00CE50BE" w:rsidP="00BD3E07">
      <w:pPr>
        <w:spacing w:after="0" w:line="336" w:lineRule="auto"/>
        <w:ind w:right="-1" w:firstLine="567"/>
        <w:rPr>
          <w:rFonts w:ascii="Times New Roman" w:hAnsi="Times New Roman" w:cs="Times New Roman"/>
          <w:b/>
          <w:bCs/>
          <w:iCs/>
          <w:sz w:val="26"/>
          <w:szCs w:val="26"/>
        </w:rPr>
      </w:pPr>
      <w:r w:rsidRPr="00CE50BE">
        <w:rPr>
          <w:rFonts w:ascii="Times New Roman" w:hAnsi="Times New Roman" w:cs="Times New Roman"/>
          <w:sz w:val="26"/>
          <w:szCs w:val="26"/>
          <w:lang w:val="de-DE"/>
        </w:rPr>
        <w:t>- Có các biện pháp thúc đẩy tăng năng suất lao động của công nhân ngành xây dựn</w:t>
      </w:r>
      <w:r>
        <w:rPr>
          <w:rFonts w:ascii="Times New Roman" w:hAnsi="Times New Roman" w:cs="Times New Roman"/>
          <w:sz w:val="26"/>
          <w:szCs w:val="26"/>
          <w:lang w:val="de-DE"/>
        </w:rPr>
        <w:t>g như tăng chế độ đãi ngộ, thưởng, cải thiện điều kiện làm việc, ăn ở...</w:t>
      </w:r>
    </w:p>
    <w:sectPr w:rsidR="007725FE" w:rsidRPr="00733486" w:rsidSect="00733486">
      <w:footerReference w:type="default" r:id="rId15"/>
      <w:pgSz w:w="11906" w:h="16838" w:code="9"/>
      <w:pgMar w:top="1134" w:right="1134" w:bottom="1134" w:left="147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2F5E" w14:textId="77777777" w:rsidR="00AC0ECD" w:rsidRDefault="00AC0ECD" w:rsidP="003A1BA6">
      <w:pPr>
        <w:spacing w:after="0" w:line="240" w:lineRule="auto"/>
      </w:pPr>
      <w:r>
        <w:separator/>
      </w:r>
    </w:p>
  </w:endnote>
  <w:endnote w:type="continuationSeparator" w:id="0">
    <w:p w14:paraId="0976C463" w14:textId="77777777" w:rsidR="00AC0ECD" w:rsidRDefault="00AC0ECD" w:rsidP="003A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945996"/>
      <w:docPartObj>
        <w:docPartGallery w:val="Page Numbers (Bottom of Page)"/>
        <w:docPartUnique/>
      </w:docPartObj>
    </w:sdtPr>
    <w:sdtEndPr>
      <w:rPr>
        <w:rFonts w:ascii="Times New Roman" w:hAnsi="Times New Roman" w:cs="Times New Roman"/>
        <w:noProof/>
      </w:rPr>
    </w:sdtEndPr>
    <w:sdtContent>
      <w:p w14:paraId="12FB91F6" w14:textId="70AE68B9" w:rsidR="00D03231" w:rsidRPr="00D03231" w:rsidRDefault="00D03231">
        <w:pPr>
          <w:pStyle w:val="Footer"/>
          <w:jc w:val="center"/>
          <w:rPr>
            <w:rFonts w:ascii="Times New Roman" w:hAnsi="Times New Roman" w:cs="Times New Roman"/>
          </w:rPr>
        </w:pPr>
        <w:r w:rsidRPr="00D03231">
          <w:rPr>
            <w:rFonts w:ascii="Times New Roman" w:hAnsi="Times New Roman" w:cs="Times New Roman"/>
          </w:rPr>
          <w:fldChar w:fldCharType="begin"/>
        </w:r>
        <w:r w:rsidRPr="00D03231">
          <w:rPr>
            <w:rFonts w:ascii="Times New Roman" w:hAnsi="Times New Roman" w:cs="Times New Roman"/>
          </w:rPr>
          <w:instrText xml:space="preserve"> PAGE   \* MERGEFORMAT </w:instrText>
        </w:r>
        <w:r w:rsidRPr="00D03231">
          <w:rPr>
            <w:rFonts w:ascii="Times New Roman" w:hAnsi="Times New Roman" w:cs="Times New Roman"/>
          </w:rPr>
          <w:fldChar w:fldCharType="separate"/>
        </w:r>
        <w:r w:rsidRPr="00D03231">
          <w:rPr>
            <w:rFonts w:ascii="Times New Roman" w:hAnsi="Times New Roman" w:cs="Times New Roman"/>
            <w:noProof/>
          </w:rPr>
          <w:t>2</w:t>
        </w:r>
        <w:r w:rsidRPr="00D03231">
          <w:rPr>
            <w:rFonts w:ascii="Times New Roman" w:hAnsi="Times New Roman" w:cs="Times New Roman"/>
            <w:noProof/>
          </w:rPr>
          <w:fldChar w:fldCharType="end"/>
        </w:r>
      </w:p>
    </w:sdtContent>
  </w:sdt>
  <w:p w14:paraId="061B415B" w14:textId="77777777" w:rsidR="00D03231" w:rsidRDefault="00D03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4949" w14:textId="77777777" w:rsidR="00AC0ECD" w:rsidRDefault="00AC0ECD" w:rsidP="003A1BA6">
      <w:pPr>
        <w:spacing w:after="0" w:line="240" w:lineRule="auto"/>
      </w:pPr>
      <w:r>
        <w:separator/>
      </w:r>
    </w:p>
  </w:footnote>
  <w:footnote w:type="continuationSeparator" w:id="0">
    <w:p w14:paraId="26F21A92" w14:textId="77777777" w:rsidR="00AC0ECD" w:rsidRDefault="00AC0ECD" w:rsidP="003A1BA6">
      <w:pPr>
        <w:spacing w:after="0" w:line="240" w:lineRule="auto"/>
      </w:pPr>
      <w:r>
        <w:continuationSeparator/>
      </w:r>
    </w:p>
  </w:footnote>
  <w:footnote w:id="1">
    <w:p w14:paraId="79BBD7AB" w14:textId="2D7E5671" w:rsidR="003A1BA6" w:rsidRPr="003628BD" w:rsidRDefault="003A1BA6" w:rsidP="00CF200D">
      <w:pPr>
        <w:pStyle w:val="FootnoteText"/>
        <w:widowControl w:val="0"/>
        <w:spacing w:after="0" w:line="312" w:lineRule="auto"/>
        <w:ind w:firstLine="714"/>
        <w:rPr>
          <w:rFonts w:asciiTheme="majorHAnsi" w:hAnsiTheme="majorHAnsi" w:cstheme="majorHAnsi"/>
        </w:rPr>
      </w:pPr>
      <w:r w:rsidRPr="003628BD">
        <w:rPr>
          <w:rStyle w:val="FootnoteReference"/>
          <w:rFonts w:asciiTheme="majorHAnsi" w:hAnsiTheme="majorHAnsi" w:cstheme="majorHAnsi"/>
        </w:rPr>
        <w:footnoteRef/>
      </w:r>
      <w:r w:rsidR="003628BD" w:rsidRPr="003628BD">
        <w:rPr>
          <w:rFonts w:asciiTheme="majorHAnsi" w:hAnsiTheme="majorHAnsi" w:cstheme="majorHAnsi"/>
        </w:rPr>
        <w:t>-</w:t>
      </w:r>
      <w:r w:rsidRPr="003628BD">
        <w:rPr>
          <w:rFonts w:asciiTheme="majorHAnsi" w:hAnsiTheme="majorHAnsi" w:cstheme="majorHAnsi"/>
        </w:rPr>
        <w:t xml:space="preserve"> </w:t>
      </w:r>
      <w:r w:rsidR="003628BD" w:rsidRPr="003628BD">
        <w:rPr>
          <w:rFonts w:asciiTheme="majorHAnsi" w:hAnsiTheme="majorHAnsi" w:cstheme="majorHAnsi"/>
          <w:sz w:val="18"/>
          <w:szCs w:val="18"/>
        </w:rPr>
        <w:t>Nguồn: Tổng cục Thống Kê</w:t>
      </w:r>
    </w:p>
  </w:footnote>
  <w:footnote w:id="2">
    <w:p w14:paraId="2D02D3B4" w14:textId="77777777" w:rsidR="00F972B8" w:rsidRPr="003628BD" w:rsidRDefault="00F972B8" w:rsidP="00F972B8">
      <w:pPr>
        <w:pStyle w:val="FootnoteText"/>
        <w:widowControl w:val="0"/>
        <w:spacing w:after="0" w:line="312" w:lineRule="auto"/>
        <w:ind w:firstLine="714"/>
        <w:rPr>
          <w:rFonts w:asciiTheme="majorHAnsi" w:hAnsiTheme="majorHAnsi" w:cstheme="majorHAnsi"/>
        </w:rPr>
      </w:pPr>
      <w:r w:rsidRPr="003628BD">
        <w:rPr>
          <w:rStyle w:val="FootnoteReference"/>
          <w:rFonts w:asciiTheme="majorHAnsi" w:hAnsiTheme="majorHAnsi" w:cstheme="majorHAnsi"/>
        </w:rPr>
        <w:footnoteRef/>
      </w:r>
      <w:r w:rsidRPr="003628BD">
        <w:rPr>
          <w:rFonts w:asciiTheme="majorHAnsi" w:hAnsiTheme="majorHAnsi" w:cstheme="majorHAnsi"/>
        </w:rPr>
        <w:t xml:space="preserve">- </w:t>
      </w:r>
      <w:r w:rsidRPr="003628BD">
        <w:rPr>
          <w:rFonts w:asciiTheme="majorHAnsi" w:hAnsiTheme="majorHAnsi" w:cstheme="majorHAnsi"/>
          <w:sz w:val="18"/>
          <w:szCs w:val="18"/>
        </w:rPr>
        <w:t>Nguồn: Tổng cục Thống Kê</w:t>
      </w:r>
    </w:p>
  </w:footnote>
  <w:footnote w:id="3">
    <w:p w14:paraId="013FF49A" w14:textId="77777777" w:rsidR="0031029C" w:rsidRPr="003628BD" w:rsidRDefault="0031029C" w:rsidP="0031029C">
      <w:pPr>
        <w:pStyle w:val="FootnoteText"/>
        <w:widowControl w:val="0"/>
        <w:spacing w:after="0" w:line="312" w:lineRule="auto"/>
        <w:ind w:firstLine="714"/>
        <w:rPr>
          <w:rFonts w:asciiTheme="majorHAnsi" w:hAnsiTheme="majorHAnsi" w:cstheme="majorHAnsi"/>
        </w:rPr>
      </w:pPr>
      <w:r w:rsidRPr="003628BD">
        <w:rPr>
          <w:rStyle w:val="FootnoteReference"/>
          <w:rFonts w:asciiTheme="majorHAnsi" w:hAnsiTheme="majorHAnsi" w:cstheme="majorHAnsi"/>
        </w:rPr>
        <w:footnoteRef/>
      </w:r>
      <w:r w:rsidRPr="003628BD">
        <w:rPr>
          <w:rFonts w:asciiTheme="majorHAnsi" w:hAnsiTheme="majorHAnsi" w:cstheme="majorHAnsi"/>
        </w:rPr>
        <w:t xml:space="preserve">- </w:t>
      </w:r>
      <w:r w:rsidRPr="003628BD">
        <w:rPr>
          <w:rFonts w:asciiTheme="majorHAnsi" w:hAnsiTheme="majorHAnsi" w:cstheme="majorHAnsi"/>
          <w:sz w:val="18"/>
          <w:szCs w:val="18"/>
        </w:rPr>
        <w:t>Nguồn: Tổng cục Thống Kê</w:t>
      </w:r>
    </w:p>
  </w:footnote>
  <w:footnote w:id="4">
    <w:p w14:paraId="2A918353" w14:textId="77777777" w:rsidR="00AB6C6E" w:rsidRPr="00B6572A" w:rsidRDefault="00AB6C6E" w:rsidP="00AB6C6E">
      <w:pPr>
        <w:pStyle w:val="FootnoteText"/>
        <w:ind w:firstLine="0"/>
        <w:rPr>
          <w:rFonts w:ascii="Times New Roman" w:hAnsi="Times New Roman" w:cs="Times New Roman"/>
        </w:rPr>
      </w:pPr>
      <w:r>
        <w:rPr>
          <w:rFonts w:ascii="Times New Roman" w:hAnsi="Times New Roman" w:cs="Times New Roman"/>
        </w:rPr>
        <w:t xml:space="preserve">4 </w:t>
      </w:r>
      <w:r w:rsidRPr="00B6572A">
        <w:rPr>
          <w:rFonts w:ascii="Times New Roman" w:hAnsi="Times New Roman" w:cs="Times New Roman"/>
        </w:rPr>
        <w:t>-</w:t>
      </w:r>
      <w:r>
        <w:rPr>
          <w:rFonts w:ascii="Times New Roman" w:hAnsi="Times New Roman" w:cs="Times New Roman"/>
        </w:rPr>
        <w:t xml:space="preserve"> </w:t>
      </w:r>
      <w:r w:rsidRPr="00B6572A">
        <w:rPr>
          <w:rFonts w:ascii="Times New Roman" w:hAnsi="Times New Roman" w:cs="Times New Roman"/>
        </w:rPr>
        <w:t xml:space="preserve">Nguồn: số liệu </w:t>
      </w:r>
      <w:r>
        <w:rPr>
          <w:rFonts w:ascii="Times New Roman" w:hAnsi="Times New Roman" w:cs="Times New Roman"/>
        </w:rPr>
        <w:t>TCTK</w:t>
      </w:r>
    </w:p>
  </w:footnote>
  <w:footnote w:id="5">
    <w:p w14:paraId="4AFF3B6A" w14:textId="46135CCA" w:rsidR="00C23856" w:rsidRPr="00B6572A" w:rsidRDefault="00AB6C6E" w:rsidP="00C23856">
      <w:pPr>
        <w:pStyle w:val="FootnoteText"/>
        <w:ind w:firstLine="0"/>
        <w:rPr>
          <w:rFonts w:ascii="Times New Roman" w:hAnsi="Times New Roman" w:cs="Times New Roman"/>
        </w:rPr>
      </w:pPr>
      <w:r>
        <w:rPr>
          <w:rFonts w:ascii="Times New Roman" w:hAnsi="Times New Roman" w:cs="Times New Roman"/>
        </w:rPr>
        <w:t>5</w:t>
      </w:r>
      <w:r w:rsidR="00C23856">
        <w:rPr>
          <w:rFonts w:ascii="Times New Roman" w:hAnsi="Times New Roman" w:cs="Times New Roman"/>
        </w:rPr>
        <w:t xml:space="preserve"> </w:t>
      </w:r>
      <w:r w:rsidR="00C23856" w:rsidRPr="00B6572A">
        <w:rPr>
          <w:rFonts w:ascii="Times New Roman" w:hAnsi="Times New Roman" w:cs="Times New Roman"/>
        </w:rPr>
        <w:t>-</w:t>
      </w:r>
      <w:r w:rsidR="00C23856">
        <w:rPr>
          <w:rFonts w:ascii="Times New Roman" w:hAnsi="Times New Roman" w:cs="Times New Roman"/>
        </w:rPr>
        <w:t xml:space="preserve"> </w:t>
      </w:r>
      <w:r w:rsidR="00C23856" w:rsidRPr="00B6572A">
        <w:rPr>
          <w:rFonts w:ascii="Times New Roman" w:hAnsi="Times New Roman" w:cs="Times New Roman"/>
        </w:rPr>
        <w:t xml:space="preserve">Nguồn: số liệu </w:t>
      </w:r>
      <w:r w:rsidR="00C23856">
        <w:rPr>
          <w:rFonts w:ascii="Times New Roman" w:hAnsi="Times New Roman" w:cs="Times New Roman"/>
        </w:rPr>
        <w:t>TCTK</w:t>
      </w:r>
    </w:p>
  </w:footnote>
  <w:footnote w:id="6">
    <w:p w14:paraId="6E597112" w14:textId="53B2844D" w:rsidR="00AA4418" w:rsidRPr="00B6572A" w:rsidRDefault="00AB6C6E" w:rsidP="00AA4418">
      <w:pPr>
        <w:pStyle w:val="FootnoteText"/>
        <w:ind w:firstLine="0"/>
        <w:rPr>
          <w:rFonts w:ascii="Times New Roman" w:hAnsi="Times New Roman" w:cs="Times New Roman"/>
        </w:rPr>
      </w:pPr>
      <w:r>
        <w:rPr>
          <w:rFonts w:ascii="Times New Roman" w:hAnsi="Times New Roman" w:cs="Times New Roman"/>
        </w:rPr>
        <w:t>6</w:t>
      </w:r>
      <w:r w:rsidR="00AA4418">
        <w:rPr>
          <w:rFonts w:ascii="Times New Roman" w:hAnsi="Times New Roman" w:cs="Times New Roman"/>
        </w:rPr>
        <w:t xml:space="preserve"> </w:t>
      </w:r>
      <w:r w:rsidR="00AA4418" w:rsidRPr="00B6572A">
        <w:rPr>
          <w:rFonts w:ascii="Times New Roman" w:hAnsi="Times New Roman" w:cs="Times New Roman"/>
        </w:rPr>
        <w:t>-</w:t>
      </w:r>
      <w:r w:rsidR="00AA4418">
        <w:rPr>
          <w:rFonts w:ascii="Times New Roman" w:hAnsi="Times New Roman" w:cs="Times New Roman"/>
        </w:rPr>
        <w:t xml:space="preserve"> </w:t>
      </w:r>
      <w:r w:rsidR="00AA4418" w:rsidRPr="00B6572A">
        <w:rPr>
          <w:rFonts w:ascii="Times New Roman" w:hAnsi="Times New Roman" w:cs="Times New Roman"/>
        </w:rPr>
        <w:t xml:space="preserve">Nguồn: số liệu </w:t>
      </w:r>
      <w:r w:rsidR="00AA4418">
        <w:rPr>
          <w:rFonts w:ascii="Times New Roman" w:hAnsi="Times New Roman" w:cs="Times New Roman"/>
        </w:rPr>
        <w:t>TCTK</w:t>
      </w:r>
    </w:p>
  </w:footnote>
  <w:footnote w:id="7">
    <w:p w14:paraId="68618AE6" w14:textId="0C5E0FF6" w:rsidR="00AA4418" w:rsidRPr="00B6572A" w:rsidRDefault="002512B0" w:rsidP="00AA4418">
      <w:pPr>
        <w:pStyle w:val="FootnoteText"/>
        <w:ind w:firstLine="0"/>
        <w:rPr>
          <w:rFonts w:ascii="Times New Roman" w:hAnsi="Times New Roman" w:cs="Times New Roman"/>
        </w:rPr>
      </w:pPr>
      <w:r>
        <w:rPr>
          <w:rFonts w:ascii="Times New Roman" w:hAnsi="Times New Roman" w:cs="Times New Roman"/>
        </w:rPr>
        <w:t>6</w:t>
      </w:r>
      <w:r w:rsidR="00AA4418" w:rsidRPr="00B6572A">
        <w:rPr>
          <w:rFonts w:ascii="Times New Roman" w:hAnsi="Times New Roman" w:cs="Times New Roman"/>
        </w:rPr>
        <w:t xml:space="preserve">-Nguồn: số liệu </w:t>
      </w:r>
      <w:r w:rsidR="00AA4418">
        <w:rPr>
          <w:rFonts w:ascii="Times New Roman" w:hAnsi="Times New Roman" w:cs="Times New Roman"/>
        </w:rPr>
        <w:t>TCTK</w:t>
      </w:r>
    </w:p>
  </w:footnote>
  <w:footnote w:id="8">
    <w:p w14:paraId="196017AF" w14:textId="3C0926F5" w:rsidR="000F77C4" w:rsidRPr="00B6572A" w:rsidRDefault="005927C6" w:rsidP="008B2403">
      <w:pPr>
        <w:pStyle w:val="FootnoteText"/>
        <w:ind w:firstLine="0"/>
        <w:rPr>
          <w:rFonts w:ascii="Times New Roman" w:hAnsi="Times New Roman" w:cs="Times New Roman"/>
        </w:rPr>
      </w:pPr>
      <w:r>
        <w:rPr>
          <w:rFonts w:ascii="Times New Roman" w:hAnsi="Times New Roman" w:cs="Times New Roman"/>
        </w:rPr>
        <w:t>8</w:t>
      </w:r>
      <w:r w:rsidR="000F77C4" w:rsidRPr="00B6572A">
        <w:rPr>
          <w:rFonts w:ascii="Times New Roman" w:hAnsi="Times New Roman" w:cs="Times New Roman"/>
        </w:rPr>
        <w:t>-</w:t>
      </w:r>
      <w:r>
        <w:rPr>
          <w:rFonts w:ascii="Times New Roman" w:hAnsi="Times New Roman" w:cs="Times New Roman"/>
        </w:rPr>
        <w:t xml:space="preserve"> </w:t>
      </w:r>
      <w:r w:rsidR="000F77C4" w:rsidRPr="00B6572A">
        <w:rPr>
          <w:rFonts w:ascii="Times New Roman" w:hAnsi="Times New Roman" w:cs="Times New Roman"/>
        </w:rPr>
        <w:t xml:space="preserve">Nguồn: số liệu khảo sát của </w:t>
      </w:r>
      <w:r w:rsidR="00B6572A">
        <w:rPr>
          <w:rFonts w:ascii="Times New Roman" w:hAnsi="Times New Roman" w:cs="Times New Roman"/>
        </w:rPr>
        <w:t>Viện Kinh tế xây dựng</w:t>
      </w:r>
    </w:p>
  </w:footnote>
  <w:footnote w:id="9">
    <w:p w14:paraId="16795EFB" w14:textId="13E2BA84" w:rsidR="000F77C4" w:rsidRPr="001B5D3A" w:rsidRDefault="005927C6" w:rsidP="00B56E08">
      <w:pPr>
        <w:pStyle w:val="FootnoteText"/>
        <w:ind w:firstLine="0"/>
        <w:rPr>
          <w:rFonts w:ascii="Times New Roman" w:hAnsi="Times New Roman" w:cs="Times New Roman"/>
          <w:sz w:val="18"/>
          <w:szCs w:val="18"/>
        </w:rPr>
      </w:pPr>
      <w:r>
        <w:rPr>
          <w:rFonts w:ascii="Times New Roman" w:hAnsi="Times New Roman" w:cs="Times New Roman"/>
          <w:sz w:val="18"/>
          <w:szCs w:val="18"/>
        </w:rPr>
        <w:t>9</w:t>
      </w:r>
      <w:r w:rsidR="00384694">
        <w:rPr>
          <w:rFonts w:ascii="Times New Roman" w:hAnsi="Times New Roman" w:cs="Times New Roman"/>
          <w:sz w:val="18"/>
          <w:szCs w:val="18"/>
        </w:rPr>
        <w:t xml:space="preserve"> </w:t>
      </w:r>
      <w:r w:rsidR="000F77C4" w:rsidRPr="001B5D3A">
        <w:rPr>
          <w:rFonts w:ascii="Times New Roman" w:hAnsi="Times New Roman" w:cs="Times New Roman"/>
          <w:sz w:val="18"/>
          <w:szCs w:val="18"/>
        </w:rPr>
        <w:t xml:space="preserve">-Nguồn: số liệu khảo sát của </w:t>
      </w:r>
      <w:r w:rsidR="001B5D3A">
        <w:rPr>
          <w:rFonts w:ascii="Times New Roman" w:hAnsi="Times New Roman" w:cs="Times New Roman"/>
          <w:sz w:val="18"/>
          <w:szCs w:val="18"/>
        </w:rPr>
        <w:t>Viện Kinh tế xây dựng</w:t>
      </w:r>
    </w:p>
  </w:footnote>
  <w:footnote w:id="10">
    <w:p w14:paraId="5BF746CF" w14:textId="3EDFC765" w:rsidR="00D216D4" w:rsidRPr="00B6572A" w:rsidRDefault="005927C6" w:rsidP="00D216D4">
      <w:pPr>
        <w:pStyle w:val="FootnoteText"/>
        <w:ind w:firstLine="0"/>
        <w:rPr>
          <w:rFonts w:ascii="Times New Roman" w:hAnsi="Times New Roman" w:cs="Times New Roman"/>
        </w:rPr>
      </w:pPr>
      <w:r>
        <w:rPr>
          <w:rFonts w:ascii="Times New Roman" w:hAnsi="Times New Roman" w:cs="Times New Roman"/>
        </w:rPr>
        <w:t>10</w:t>
      </w:r>
      <w:r w:rsidR="00D216D4" w:rsidRPr="00B6572A">
        <w:rPr>
          <w:rFonts w:ascii="Times New Roman" w:hAnsi="Times New Roman" w:cs="Times New Roman"/>
        </w:rPr>
        <w:t xml:space="preserve">-Nguồn: số liệu </w:t>
      </w:r>
      <w:r w:rsidR="00D216D4">
        <w:rPr>
          <w:rFonts w:ascii="Times New Roman" w:hAnsi="Times New Roman" w:cs="Times New Roman"/>
        </w:rPr>
        <w:t>tính toán</w:t>
      </w:r>
      <w:r w:rsidR="00D216D4" w:rsidRPr="00B6572A">
        <w:rPr>
          <w:rFonts w:ascii="Times New Roman" w:hAnsi="Times New Roman" w:cs="Times New Roman"/>
        </w:rPr>
        <w:t xml:space="preserve"> của </w:t>
      </w:r>
      <w:r w:rsidR="00D216D4">
        <w:rPr>
          <w:rFonts w:ascii="Times New Roman" w:hAnsi="Times New Roman" w:cs="Times New Roman"/>
        </w:rPr>
        <w:t>Viện Kinh tế xây dựng</w:t>
      </w:r>
    </w:p>
  </w:footnote>
  <w:footnote w:id="11">
    <w:p w14:paraId="0D917876" w14:textId="12448643" w:rsidR="00384694" w:rsidRPr="00012008" w:rsidRDefault="005927C6" w:rsidP="00384694">
      <w:pPr>
        <w:pStyle w:val="FootnoteText"/>
        <w:ind w:firstLine="0"/>
        <w:rPr>
          <w:rFonts w:ascii="Times New Roman" w:hAnsi="Times New Roman" w:cs="Times New Roman"/>
        </w:rPr>
      </w:pPr>
      <w:r>
        <w:rPr>
          <w:rFonts w:ascii="Times New Roman" w:hAnsi="Times New Roman" w:cs="Times New Roman"/>
        </w:rPr>
        <w:t>11</w:t>
      </w:r>
      <w:r w:rsidR="00384694" w:rsidRPr="00012008">
        <w:rPr>
          <w:rFonts w:ascii="Times New Roman" w:hAnsi="Times New Roman" w:cs="Times New Roman"/>
        </w:rPr>
        <w:t xml:space="preserve"> -Nguồn: Viện Kinh tế xây dựng</w:t>
      </w:r>
    </w:p>
  </w:footnote>
  <w:footnote w:id="12">
    <w:p w14:paraId="6786A851" w14:textId="3B1D2BEB" w:rsidR="00561FA6" w:rsidRPr="00012008" w:rsidRDefault="005927C6" w:rsidP="00561FA6">
      <w:pPr>
        <w:pStyle w:val="FootnoteText"/>
        <w:ind w:firstLine="0"/>
        <w:rPr>
          <w:rFonts w:ascii="Times New Roman" w:hAnsi="Times New Roman" w:cs="Times New Roman"/>
        </w:rPr>
      </w:pPr>
      <w:r>
        <w:rPr>
          <w:rFonts w:ascii="Times New Roman" w:hAnsi="Times New Roman" w:cs="Times New Roman"/>
        </w:rPr>
        <w:t>12</w:t>
      </w:r>
      <w:r w:rsidR="00561FA6" w:rsidRPr="00012008">
        <w:rPr>
          <w:rFonts w:ascii="Times New Roman" w:hAnsi="Times New Roman" w:cs="Times New Roman"/>
        </w:rPr>
        <w:t xml:space="preserve"> -Nguồn: số liệu tính toán của Viện Kinh tế xây dựng</w:t>
      </w:r>
    </w:p>
  </w:footnote>
  <w:footnote w:id="13">
    <w:p w14:paraId="4907BF6F" w14:textId="272F6859" w:rsidR="00D05F03" w:rsidRPr="00012008" w:rsidRDefault="00AA4418" w:rsidP="00D05F03">
      <w:pPr>
        <w:pStyle w:val="FootnoteText"/>
        <w:ind w:firstLine="0"/>
        <w:rPr>
          <w:rFonts w:ascii="Times New Roman" w:hAnsi="Times New Roman" w:cs="Times New Roman"/>
        </w:rPr>
      </w:pPr>
      <w:r>
        <w:rPr>
          <w:rFonts w:ascii="Times New Roman" w:hAnsi="Times New Roman" w:cs="Times New Roman"/>
        </w:rPr>
        <w:t>1</w:t>
      </w:r>
      <w:r w:rsidR="005927C6">
        <w:rPr>
          <w:rFonts w:ascii="Times New Roman" w:hAnsi="Times New Roman" w:cs="Times New Roman"/>
        </w:rPr>
        <w:t>3</w:t>
      </w:r>
      <w:r w:rsidR="00D05F03" w:rsidRPr="00012008">
        <w:rPr>
          <w:rFonts w:ascii="Times New Roman" w:hAnsi="Times New Roman" w:cs="Times New Roman"/>
        </w:rPr>
        <w:t xml:space="preserve"> -Nguồn: số liệu tính toán của Viện Kinh tế xây dựng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2523"/>
    <w:multiLevelType w:val="hybridMultilevel"/>
    <w:tmpl w:val="86608EDC"/>
    <w:lvl w:ilvl="0" w:tplc="AB4AE02C">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E001DF1"/>
    <w:multiLevelType w:val="multilevel"/>
    <w:tmpl w:val="B462C03C"/>
    <w:lvl w:ilvl="0">
      <w:start w:val="1"/>
      <w:numFmt w:val="decimal"/>
      <w:pStyle w:val="Heading1"/>
      <w:lvlText w:val="%1."/>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A23756"/>
    <w:multiLevelType w:val="hybridMultilevel"/>
    <w:tmpl w:val="5F0CEC9C"/>
    <w:lvl w:ilvl="0" w:tplc="5DD2B0E2">
      <w:start w:val="7"/>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28691484">
    <w:abstractNumId w:val="1"/>
  </w:num>
  <w:num w:numId="2" w16cid:durableId="1454909937">
    <w:abstractNumId w:val="2"/>
  </w:num>
  <w:num w:numId="3" w16cid:durableId="1573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78"/>
    <w:rsid w:val="000026C5"/>
    <w:rsid w:val="00012008"/>
    <w:rsid w:val="00023197"/>
    <w:rsid w:val="00040731"/>
    <w:rsid w:val="00041D32"/>
    <w:rsid w:val="00041FA9"/>
    <w:rsid w:val="00042FF7"/>
    <w:rsid w:val="00043E2D"/>
    <w:rsid w:val="0005169B"/>
    <w:rsid w:val="00054824"/>
    <w:rsid w:val="00081BB9"/>
    <w:rsid w:val="00083FE2"/>
    <w:rsid w:val="00085B3F"/>
    <w:rsid w:val="000A1B44"/>
    <w:rsid w:val="000A46B1"/>
    <w:rsid w:val="000A596E"/>
    <w:rsid w:val="000B03C1"/>
    <w:rsid w:val="000B07F5"/>
    <w:rsid w:val="000B40A8"/>
    <w:rsid w:val="000B479D"/>
    <w:rsid w:val="000E2FEB"/>
    <w:rsid w:val="000F77C4"/>
    <w:rsid w:val="00111F8D"/>
    <w:rsid w:val="00115CD7"/>
    <w:rsid w:val="001331C8"/>
    <w:rsid w:val="00145699"/>
    <w:rsid w:val="001562CC"/>
    <w:rsid w:val="00167574"/>
    <w:rsid w:val="001712B0"/>
    <w:rsid w:val="00185A99"/>
    <w:rsid w:val="001A0885"/>
    <w:rsid w:val="001B5D3A"/>
    <w:rsid w:val="001C30D3"/>
    <w:rsid w:val="001D3D3F"/>
    <w:rsid w:val="001E69F3"/>
    <w:rsid w:val="00200054"/>
    <w:rsid w:val="002012EF"/>
    <w:rsid w:val="002248E6"/>
    <w:rsid w:val="00240028"/>
    <w:rsid w:val="002512B0"/>
    <w:rsid w:val="00257871"/>
    <w:rsid w:val="00260D12"/>
    <w:rsid w:val="002746DE"/>
    <w:rsid w:val="002B0981"/>
    <w:rsid w:val="002C2601"/>
    <w:rsid w:val="002C6642"/>
    <w:rsid w:val="002D62A5"/>
    <w:rsid w:val="002D6B16"/>
    <w:rsid w:val="002E72F4"/>
    <w:rsid w:val="002F3971"/>
    <w:rsid w:val="0031029C"/>
    <w:rsid w:val="0031033A"/>
    <w:rsid w:val="00314AC2"/>
    <w:rsid w:val="0035397F"/>
    <w:rsid w:val="00353BD0"/>
    <w:rsid w:val="003628BD"/>
    <w:rsid w:val="003711ED"/>
    <w:rsid w:val="0037660C"/>
    <w:rsid w:val="00384694"/>
    <w:rsid w:val="003930A2"/>
    <w:rsid w:val="003A1BA6"/>
    <w:rsid w:val="003A7F1D"/>
    <w:rsid w:val="003B558D"/>
    <w:rsid w:val="003C3301"/>
    <w:rsid w:val="003C5454"/>
    <w:rsid w:val="003C67EF"/>
    <w:rsid w:val="003E2C6C"/>
    <w:rsid w:val="003E589F"/>
    <w:rsid w:val="003E75B6"/>
    <w:rsid w:val="003F0014"/>
    <w:rsid w:val="00414B1F"/>
    <w:rsid w:val="004164D6"/>
    <w:rsid w:val="00416897"/>
    <w:rsid w:val="004242DA"/>
    <w:rsid w:val="00432774"/>
    <w:rsid w:val="00446F13"/>
    <w:rsid w:val="00476C13"/>
    <w:rsid w:val="00481F80"/>
    <w:rsid w:val="004829CC"/>
    <w:rsid w:val="00487E3F"/>
    <w:rsid w:val="00491640"/>
    <w:rsid w:val="004A2770"/>
    <w:rsid w:val="004C7202"/>
    <w:rsid w:val="004D51B7"/>
    <w:rsid w:val="004D52D7"/>
    <w:rsid w:val="004F0399"/>
    <w:rsid w:val="004F5CF7"/>
    <w:rsid w:val="00502BD1"/>
    <w:rsid w:val="005138AF"/>
    <w:rsid w:val="00526132"/>
    <w:rsid w:val="005319B9"/>
    <w:rsid w:val="005562DE"/>
    <w:rsid w:val="00561FA6"/>
    <w:rsid w:val="00565D65"/>
    <w:rsid w:val="00583110"/>
    <w:rsid w:val="00591890"/>
    <w:rsid w:val="00592293"/>
    <w:rsid w:val="005927C6"/>
    <w:rsid w:val="00592825"/>
    <w:rsid w:val="005A18E9"/>
    <w:rsid w:val="005C472D"/>
    <w:rsid w:val="005E0DD0"/>
    <w:rsid w:val="005F4D2E"/>
    <w:rsid w:val="0060386B"/>
    <w:rsid w:val="00616170"/>
    <w:rsid w:val="00623301"/>
    <w:rsid w:val="00631536"/>
    <w:rsid w:val="00637FD4"/>
    <w:rsid w:val="00685CEE"/>
    <w:rsid w:val="006963A0"/>
    <w:rsid w:val="006A4BFF"/>
    <w:rsid w:val="006B0F5A"/>
    <w:rsid w:val="006C1179"/>
    <w:rsid w:val="006C29F2"/>
    <w:rsid w:val="006C31F2"/>
    <w:rsid w:val="006E3AA7"/>
    <w:rsid w:val="006F284E"/>
    <w:rsid w:val="006F4BAA"/>
    <w:rsid w:val="006F6D61"/>
    <w:rsid w:val="00701877"/>
    <w:rsid w:val="00703620"/>
    <w:rsid w:val="00703A9A"/>
    <w:rsid w:val="00713FFD"/>
    <w:rsid w:val="00733486"/>
    <w:rsid w:val="00737A8A"/>
    <w:rsid w:val="007725FE"/>
    <w:rsid w:val="00785BF1"/>
    <w:rsid w:val="007A2093"/>
    <w:rsid w:val="007B0D67"/>
    <w:rsid w:val="007B12AC"/>
    <w:rsid w:val="007B5F2F"/>
    <w:rsid w:val="007E697D"/>
    <w:rsid w:val="007E6F85"/>
    <w:rsid w:val="007F33D5"/>
    <w:rsid w:val="007F4264"/>
    <w:rsid w:val="00800073"/>
    <w:rsid w:val="00814EBF"/>
    <w:rsid w:val="00820363"/>
    <w:rsid w:val="008213F9"/>
    <w:rsid w:val="00834797"/>
    <w:rsid w:val="00853791"/>
    <w:rsid w:val="00884E87"/>
    <w:rsid w:val="008A4489"/>
    <w:rsid w:val="008B2403"/>
    <w:rsid w:val="008F04B6"/>
    <w:rsid w:val="00900D3E"/>
    <w:rsid w:val="00904BB9"/>
    <w:rsid w:val="00910049"/>
    <w:rsid w:val="00927920"/>
    <w:rsid w:val="00937572"/>
    <w:rsid w:val="00943CBD"/>
    <w:rsid w:val="00947A4B"/>
    <w:rsid w:val="0095114C"/>
    <w:rsid w:val="009546AF"/>
    <w:rsid w:val="009B60D4"/>
    <w:rsid w:val="009B7723"/>
    <w:rsid w:val="009E1914"/>
    <w:rsid w:val="009F05C5"/>
    <w:rsid w:val="009F583D"/>
    <w:rsid w:val="00A01320"/>
    <w:rsid w:val="00A03547"/>
    <w:rsid w:val="00A03676"/>
    <w:rsid w:val="00A06822"/>
    <w:rsid w:val="00A13E3C"/>
    <w:rsid w:val="00A23D73"/>
    <w:rsid w:val="00A469D3"/>
    <w:rsid w:val="00A51769"/>
    <w:rsid w:val="00A52CD6"/>
    <w:rsid w:val="00A7605A"/>
    <w:rsid w:val="00A8108E"/>
    <w:rsid w:val="00A84024"/>
    <w:rsid w:val="00A87A5E"/>
    <w:rsid w:val="00AA0732"/>
    <w:rsid w:val="00AA2CE5"/>
    <w:rsid w:val="00AA4418"/>
    <w:rsid w:val="00AB6C6E"/>
    <w:rsid w:val="00AC0ECD"/>
    <w:rsid w:val="00AC71B6"/>
    <w:rsid w:val="00AE58A2"/>
    <w:rsid w:val="00AF5AE8"/>
    <w:rsid w:val="00B003A0"/>
    <w:rsid w:val="00B11E76"/>
    <w:rsid w:val="00B12610"/>
    <w:rsid w:val="00B13D97"/>
    <w:rsid w:val="00B228D4"/>
    <w:rsid w:val="00B30337"/>
    <w:rsid w:val="00B335F2"/>
    <w:rsid w:val="00B358A7"/>
    <w:rsid w:val="00B47536"/>
    <w:rsid w:val="00B56E08"/>
    <w:rsid w:val="00B57E05"/>
    <w:rsid w:val="00B6572A"/>
    <w:rsid w:val="00B9428C"/>
    <w:rsid w:val="00B945D7"/>
    <w:rsid w:val="00BB0978"/>
    <w:rsid w:val="00BC0DF4"/>
    <w:rsid w:val="00BD3E07"/>
    <w:rsid w:val="00BE7878"/>
    <w:rsid w:val="00C01435"/>
    <w:rsid w:val="00C076A5"/>
    <w:rsid w:val="00C1042E"/>
    <w:rsid w:val="00C1074A"/>
    <w:rsid w:val="00C22310"/>
    <w:rsid w:val="00C23856"/>
    <w:rsid w:val="00C458D1"/>
    <w:rsid w:val="00C55351"/>
    <w:rsid w:val="00C56862"/>
    <w:rsid w:val="00C934DA"/>
    <w:rsid w:val="00C94552"/>
    <w:rsid w:val="00CB6ACD"/>
    <w:rsid w:val="00CC7807"/>
    <w:rsid w:val="00CD6F8D"/>
    <w:rsid w:val="00CE50BE"/>
    <w:rsid w:val="00CE56C4"/>
    <w:rsid w:val="00CF200D"/>
    <w:rsid w:val="00CF4046"/>
    <w:rsid w:val="00D02888"/>
    <w:rsid w:val="00D03231"/>
    <w:rsid w:val="00D05F03"/>
    <w:rsid w:val="00D06ADB"/>
    <w:rsid w:val="00D1659D"/>
    <w:rsid w:val="00D16F36"/>
    <w:rsid w:val="00D216D4"/>
    <w:rsid w:val="00D24D44"/>
    <w:rsid w:val="00D255A9"/>
    <w:rsid w:val="00D3212C"/>
    <w:rsid w:val="00D326D1"/>
    <w:rsid w:val="00D34136"/>
    <w:rsid w:val="00D35C80"/>
    <w:rsid w:val="00D41118"/>
    <w:rsid w:val="00D50008"/>
    <w:rsid w:val="00D5017A"/>
    <w:rsid w:val="00D53B3B"/>
    <w:rsid w:val="00D60B22"/>
    <w:rsid w:val="00D7384F"/>
    <w:rsid w:val="00D7434E"/>
    <w:rsid w:val="00D8207F"/>
    <w:rsid w:val="00D87312"/>
    <w:rsid w:val="00D878B1"/>
    <w:rsid w:val="00D9402D"/>
    <w:rsid w:val="00DA16C0"/>
    <w:rsid w:val="00DC3362"/>
    <w:rsid w:val="00DD37DC"/>
    <w:rsid w:val="00DE1D42"/>
    <w:rsid w:val="00E0510B"/>
    <w:rsid w:val="00E1632E"/>
    <w:rsid w:val="00E20EE9"/>
    <w:rsid w:val="00E31BB9"/>
    <w:rsid w:val="00E3764E"/>
    <w:rsid w:val="00E4785D"/>
    <w:rsid w:val="00E63E25"/>
    <w:rsid w:val="00E77078"/>
    <w:rsid w:val="00E94C18"/>
    <w:rsid w:val="00EA560E"/>
    <w:rsid w:val="00EA6A01"/>
    <w:rsid w:val="00EB661B"/>
    <w:rsid w:val="00EB7F84"/>
    <w:rsid w:val="00EC1410"/>
    <w:rsid w:val="00EC51B8"/>
    <w:rsid w:val="00ED20D5"/>
    <w:rsid w:val="00ED50E4"/>
    <w:rsid w:val="00F178D7"/>
    <w:rsid w:val="00F23A26"/>
    <w:rsid w:val="00F3353F"/>
    <w:rsid w:val="00F810E5"/>
    <w:rsid w:val="00F847AC"/>
    <w:rsid w:val="00F972B8"/>
    <w:rsid w:val="00FA56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2B05"/>
  <w15:chartTrackingRefBased/>
  <w15:docId w15:val="{6B429AFA-AB8E-4485-9BF5-55D72836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03"/>
    <w:pPr>
      <w:spacing w:after="103" w:line="330" w:lineRule="auto"/>
      <w:ind w:right="284" w:firstLine="717"/>
      <w:jc w:val="both"/>
    </w:pPr>
    <w:rPr>
      <w:rFonts w:ascii="Arial" w:eastAsia="Arial" w:hAnsi="Arial" w:cs="Arial"/>
      <w:color w:val="000000"/>
      <w:sz w:val="24"/>
      <w:lang w:val="en-US"/>
    </w:rPr>
  </w:style>
  <w:style w:type="paragraph" w:styleId="Heading1">
    <w:name w:val="heading 1"/>
    <w:next w:val="Normal"/>
    <w:link w:val="Heading1Char"/>
    <w:uiPriority w:val="9"/>
    <w:unhideWhenUsed/>
    <w:qFormat/>
    <w:rsid w:val="000F77C4"/>
    <w:pPr>
      <w:keepNext/>
      <w:keepLines/>
      <w:numPr>
        <w:numId w:val="1"/>
      </w:numPr>
      <w:spacing w:after="205" w:line="265" w:lineRule="auto"/>
      <w:outlineLvl w:val="0"/>
    </w:pPr>
    <w:rPr>
      <w:rFonts w:ascii="Arial" w:eastAsia="Arial" w:hAnsi="Arial" w:cs="Times New Roman"/>
      <w:i/>
      <w:color w:val="000000"/>
      <w:sz w:val="24"/>
      <w:szCs w:val="20"/>
      <w:lang w:val="en-US"/>
    </w:rPr>
  </w:style>
  <w:style w:type="paragraph" w:styleId="Heading2">
    <w:name w:val="heading 2"/>
    <w:next w:val="Normal"/>
    <w:link w:val="Heading2Char"/>
    <w:unhideWhenUsed/>
    <w:qFormat/>
    <w:rsid w:val="000F77C4"/>
    <w:pPr>
      <w:keepNext/>
      <w:keepLines/>
      <w:numPr>
        <w:ilvl w:val="1"/>
        <w:numId w:val="1"/>
      </w:numPr>
      <w:spacing w:after="205" w:line="265" w:lineRule="auto"/>
      <w:ind w:left="730" w:hanging="10"/>
      <w:outlineLvl w:val="1"/>
    </w:pPr>
    <w:rPr>
      <w:rFonts w:ascii="Arial" w:eastAsia="Arial" w:hAnsi="Arial" w:cs="Times New Roman"/>
      <w:i/>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BB0978"/>
    <w:pPr>
      <w:spacing w:after="120" w:line="240" w:lineRule="auto"/>
      <w:ind w:left="283" w:right="0" w:firstLine="0"/>
      <w:jc w:val="left"/>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rsid w:val="00BB0978"/>
    <w:rPr>
      <w:rFonts w:ascii="Times New Roman" w:eastAsia="Times New Roman" w:hAnsi="Times New Roman" w:cs="Times New Roman"/>
      <w:sz w:val="16"/>
      <w:szCs w:val="16"/>
      <w:lang w:val="en-US"/>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link w:val="CharChar1CharCharCharChar1CharCharCharCharCharCharCharChar"/>
    <w:uiPriority w:val="99"/>
    <w:unhideWhenUsed/>
    <w:qFormat/>
    <w:rsid w:val="003A1BA6"/>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unhideWhenUsed/>
    <w:qFormat/>
    <w:rsid w:val="003A1BA6"/>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3A1BA6"/>
    <w:rPr>
      <w:rFonts w:ascii="Arial" w:eastAsia="Arial" w:hAnsi="Arial" w:cs="Arial"/>
      <w:color w:val="000000"/>
      <w:sz w:val="20"/>
      <w:szCs w:val="20"/>
      <w:lang w:val="en-US"/>
    </w:rPr>
  </w:style>
  <w:style w:type="character" w:styleId="Emphasis">
    <w:name w:val="Emphasis"/>
    <w:uiPriority w:val="20"/>
    <w:qFormat/>
    <w:rsid w:val="003A1BA6"/>
    <w:rPr>
      <w:i/>
      <w:i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A1BA6"/>
    <w:pPr>
      <w:spacing w:after="160" w:line="240" w:lineRule="exact"/>
      <w:ind w:right="0" w:firstLine="0"/>
      <w:jc w:val="left"/>
    </w:pPr>
    <w:rPr>
      <w:rFonts w:asciiTheme="minorHAnsi" w:eastAsiaTheme="minorHAnsi" w:hAnsiTheme="minorHAnsi" w:cstheme="minorBidi"/>
      <w:color w:val="auto"/>
      <w:sz w:val="22"/>
      <w:lang w:val="vi-VN"/>
    </w:rPr>
  </w:style>
  <w:style w:type="table" w:styleId="TableGrid">
    <w:name w:val="Table Grid"/>
    <w:basedOn w:val="TableNormal"/>
    <w:uiPriority w:val="39"/>
    <w:rsid w:val="006A4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D87312"/>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customStyle="1" w:styleId="Heading1Char">
    <w:name w:val="Heading 1 Char"/>
    <w:basedOn w:val="DefaultParagraphFont"/>
    <w:link w:val="Heading1"/>
    <w:uiPriority w:val="9"/>
    <w:rsid w:val="000F77C4"/>
    <w:rPr>
      <w:rFonts w:ascii="Arial" w:eastAsia="Arial" w:hAnsi="Arial" w:cs="Times New Roman"/>
      <w:i/>
      <w:color w:val="000000"/>
      <w:sz w:val="24"/>
      <w:szCs w:val="20"/>
      <w:lang w:val="en-US"/>
    </w:rPr>
  </w:style>
  <w:style w:type="character" w:customStyle="1" w:styleId="Heading2Char">
    <w:name w:val="Heading 2 Char"/>
    <w:basedOn w:val="DefaultParagraphFont"/>
    <w:link w:val="Heading2"/>
    <w:rsid w:val="000F77C4"/>
    <w:rPr>
      <w:rFonts w:ascii="Arial" w:eastAsia="Arial" w:hAnsi="Arial" w:cs="Times New Roman"/>
      <w:i/>
      <w:color w:val="000000"/>
      <w:sz w:val="24"/>
      <w:szCs w:val="20"/>
      <w:lang w:val="en-US"/>
    </w:rPr>
  </w:style>
  <w:style w:type="paragraph" w:styleId="NormalWeb">
    <w:name w:val="Normal (Web)"/>
    <w:basedOn w:val="Normal"/>
    <w:uiPriority w:val="99"/>
    <w:unhideWhenUsed/>
    <w:rsid w:val="000F77C4"/>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styleId="Strong">
    <w:name w:val="Strong"/>
    <w:uiPriority w:val="22"/>
    <w:qFormat/>
    <w:rsid w:val="000F77C4"/>
    <w:rPr>
      <w:b/>
      <w:bCs/>
    </w:rPr>
  </w:style>
  <w:style w:type="table" w:customStyle="1" w:styleId="TableGrid1">
    <w:name w:val="Table Grid1"/>
    <w:basedOn w:val="TableNormal"/>
    <w:next w:val="TableGrid"/>
    <w:rsid w:val="000F77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0F77C4"/>
  </w:style>
  <w:style w:type="paragraph" w:styleId="Header">
    <w:name w:val="header"/>
    <w:basedOn w:val="Normal"/>
    <w:link w:val="HeaderChar"/>
    <w:uiPriority w:val="99"/>
    <w:unhideWhenUsed/>
    <w:rsid w:val="00D03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231"/>
    <w:rPr>
      <w:rFonts w:ascii="Arial" w:eastAsia="Arial" w:hAnsi="Arial" w:cs="Arial"/>
      <w:color w:val="000000"/>
      <w:sz w:val="24"/>
      <w:lang w:val="en-US"/>
    </w:rPr>
  </w:style>
  <w:style w:type="paragraph" w:styleId="Footer">
    <w:name w:val="footer"/>
    <w:basedOn w:val="Normal"/>
    <w:link w:val="FooterChar"/>
    <w:uiPriority w:val="99"/>
    <w:unhideWhenUsed/>
    <w:rsid w:val="00D03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231"/>
    <w:rPr>
      <w:rFonts w:ascii="Arial" w:eastAsia="Arial" w:hAnsi="Arial" w:cs="Arial"/>
      <w:color w:val="000000"/>
      <w:sz w:val="24"/>
      <w:lang w:val="en-US"/>
    </w:rPr>
  </w:style>
  <w:style w:type="table" w:styleId="GridTable4-Accent5">
    <w:name w:val="Grid Table 4 Accent 5"/>
    <w:basedOn w:val="TableNormal"/>
    <w:uiPriority w:val="49"/>
    <w:rsid w:val="00A52CD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4829CC"/>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0026C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Indent">
    <w:name w:val="Body Text Indent"/>
    <w:basedOn w:val="Normal"/>
    <w:link w:val="BodyTextIndentChar"/>
    <w:uiPriority w:val="99"/>
    <w:semiHidden/>
    <w:unhideWhenUsed/>
    <w:rsid w:val="009F05C5"/>
    <w:pPr>
      <w:spacing w:after="120"/>
      <w:ind w:left="283"/>
    </w:pPr>
  </w:style>
  <w:style w:type="character" w:customStyle="1" w:styleId="BodyTextIndentChar">
    <w:name w:val="Body Text Indent Char"/>
    <w:basedOn w:val="DefaultParagraphFont"/>
    <w:link w:val="BodyTextIndent"/>
    <w:uiPriority w:val="99"/>
    <w:semiHidden/>
    <w:rsid w:val="009F05C5"/>
    <w:rPr>
      <w:rFonts w:ascii="Arial" w:eastAsia="Arial" w:hAnsi="Arial" w:cs="Arial"/>
      <w:color w:val="000000"/>
      <w:sz w:val="24"/>
      <w:lang w:val="en-US"/>
    </w:rPr>
  </w:style>
  <w:style w:type="character" w:styleId="Hyperlink">
    <w:name w:val="Hyperlink"/>
    <w:basedOn w:val="DefaultParagraphFont"/>
    <w:uiPriority w:val="99"/>
    <w:semiHidden/>
    <w:unhideWhenUsed/>
    <w:rsid w:val="00853791"/>
    <w:rPr>
      <w:color w:val="0000FF"/>
      <w:u w:val="single"/>
    </w:rPr>
  </w:style>
  <w:style w:type="paragraph" w:styleId="ListParagraph">
    <w:name w:val="List Paragraph"/>
    <w:basedOn w:val="Normal"/>
    <w:uiPriority w:val="34"/>
    <w:qFormat/>
    <w:rsid w:val="00D34136"/>
    <w:pPr>
      <w:ind w:left="720"/>
      <w:contextualSpacing/>
    </w:pPr>
  </w:style>
  <w:style w:type="table" w:styleId="GridTable3-Accent5">
    <w:name w:val="Grid Table 3 Accent 5"/>
    <w:basedOn w:val="TableNormal"/>
    <w:uiPriority w:val="48"/>
    <w:rsid w:val="00A840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6Colorful-Accent5">
    <w:name w:val="Grid Table 6 Colorful Accent 5"/>
    <w:basedOn w:val="TableNormal"/>
    <w:uiPriority w:val="51"/>
    <w:rsid w:val="00A8402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BD3E0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439">
      <w:bodyDiv w:val="1"/>
      <w:marLeft w:val="0"/>
      <w:marRight w:val="0"/>
      <w:marTop w:val="0"/>
      <w:marBottom w:val="0"/>
      <w:divBdr>
        <w:top w:val="none" w:sz="0" w:space="0" w:color="auto"/>
        <w:left w:val="none" w:sz="0" w:space="0" w:color="auto"/>
        <w:bottom w:val="none" w:sz="0" w:space="0" w:color="auto"/>
        <w:right w:val="none" w:sz="0" w:space="0" w:color="auto"/>
      </w:divBdr>
    </w:div>
    <w:div w:id="106392992">
      <w:bodyDiv w:val="1"/>
      <w:marLeft w:val="0"/>
      <w:marRight w:val="0"/>
      <w:marTop w:val="0"/>
      <w:marBottom w:val="0"/>
      <w:divBdr>
        <w:top w:val="none" w:sz="0" w:space="0" w:color="auto"/>
        <w:left w:val="none" w:sz="0" w:space="0" w:color="auto"/>
        <w:bottom w:val="none" w:sz="0" w:space="0" w:color="auto"/>
        <w:right w:val="none" w:sz="0" w:space="0" w:color="auto"/>
      </w:divBdr>
    </w:div>
    <w:div w:id="311257425">
      <w:bodyDiv w:val="1"/>
      <w:marLeft w:val="0"/>
      <w:marRight w:val="0"/>
      <w:marTop w:val="0"/>
      <w:marBottom w:val="0"/>
      <w:divBdr>
        <w:top w:val="none" w:sz="0" w:space="0" w:color="auto"/>
        <w:left w:val="none" w:sz="0" w:space="0" w:color="auto"/>
        <w:bottom w:val="none" w:sz="0" w:space="0" w:color="auto"/>
        <w:right w:val="none" w:sz="0" w:space="0" w:color="auto"/>
      </w:divBdr>
    </w:div>
    <w:div w:id="456334736">
      <w:bodyDiv w:val="1"/>
      <w:marLeft w:val="0"/>
      <w:marRight w:val="0"/>
      <w:marTop w:val="0"/>
      <w:marBottom w:val="0"/>
      <w:divBdr>
        <w:top w:val="none" w:sz="0" w:space="0" w:color="auto"/>
        <w:left w:val="none" w:sz="0" w:space="0" w:color="auto"/>
        <w:bottom w:val="none" w:sz="0" w:space="0" w:color="auto"/>
        <w:right w:val="none" w:sz="0" w:space="0" w:color="auto"/>
      </w:divBdr>
    </w:div>
    <w:div w:id="747535988">
      <w:bodyDiv w:val="1"/>
      <w:marLeft w:val="0"/>
      <w:marRight w:val="0"/>
      <w:marTop w:val="0"/>
      <w:marBottom w:val="0"/>
      <w:divBdr>
        <w:top w:val="none" w:sz="0" w:space="0" w:color="auto"/>
        <w:left w:val="none" w:sz="0" w:space="0" w:color="auto"/>
        <w:bottom w:val="none" w:sz="0" w:space="0" w:color="auto"/>
        <w:right w:val="none" w:sz="0" w:space="0" w:color="auto"/>
      </w:divBdr>
    </w:div>
    <w:div w:id="967474882">
      <w:bodyDiv w:val="1"/>
      <w:marLeft w:val="0"/>
      <w:marRight w:val="0"/>
      <w:marTop w:val="0"/>
      <w:marBottom w:val="0"/>
      <w:divBdr>
        <w:top w:val="none" w:sz="0" w:space="0" w:color="auto"/>
        <w:left w:val="none" w:sz="0" w:space="0" w:color="auto"/>
        <w:bottom w:val="none" w:sz="0" w:space="0" w:color="auto"/>
        <w:right w:val="none" w:sz="0" w:space="0" w:color="auto"/>
      </w:divBdr>
    </w:div>
    <w:div w:id="1036349082">
      <w:bodyDiv w:val="1"/>
      <w:marLeft w:val="0"/>
      <w:marRight w:val="0"/>
      <w:marTop w:val="0"/>
      <w:marBottom w:val="0"/>
      <w:divBdr>
        <w:top w:val="none" w:sz="0" w:space="0" w:color="auto"/>
        <w:left w:val="none" w:sz="0" w:space="0" w:color="auto"/>
        <w:bottom w:val="none" w:sz="0" w:space="0" w:color="auto"/>
        <w:right w:val="none" w:sz="0" w:space="0" w:color="auto"/>
      </w:divBdr>
    </w:div>
    <w:div w:id="1320575052">
      <w:bodyDiv w:val="1"/>
      <w:marLeft w:val="0"/>
      <w:marRight w:val="0"/>
      <w:marTop w:val="0"/>
      <w:marBottom w:val="0"/>
      <w:divBdr>
        <w:top w:val="none" w:sz="0" w:space="0" w:color="auto"/>
        <w:left w:val="none" w:sz="0" w:space="0" w:color="auto"/>
        <w:bottom w:val="none" w:sz="0" w:space="0" w:color="auto"/>
        <w:right w:val="none" w:sz="0" w:space="0" w:color="auto"/>
      </w:divBdr>
    </w:div>
    <w:div w:id="16581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odautu.vn/"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100" b="1"/>
              <a:t>Tốc</a:t>
            </a:r>
            <a:r>
              <a:rPr lang="en-US" sz="1100" b="1" baseline="0"/>
              <a:t> độ tăng GDP QII các năm 2011-2023</a:t>
            </a:r>
            <a:endParaRPr lang="en-US" sz="1100" b="1"/>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2225" cap="rnd">
              <a:solidFill>
                <a:schemeClr val="accent2">
                  <a:shade val="65000"/>
                </a:schemeClr>
              </a:solidFill>
              <a:round/>
            </a:ln>
            <a:effectLst/>
          </c:spPr>
          <c:marker>
            <c:symbol val="none"/>
          </c:marker>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Sheet1!$B$2:$B$14</c:f>
              <c:numCache>
                <c:formatCode>General</c:formatCode>
                <c:ptCount val="13"/>
                <c:pt idx="0">
                  <c:v>6.1</c:v>
                </c:pt>
                <c:pt idx="1">
                  <c:v>5.25</c:v>
                </c:pt>
                <c:pt idx="2">
                  <c:v>5.03</c:v>
                </c:pt>
                <c:pt idx="3">
                  <c:v>5.86</c:v>
                </c:pt>
                <c:pt idx="4">
                  <c:v>6.68</c:v>
                </c:pt>
                <c:pt idx="5">
                  <c:v>6.13</c:v>
                </c:pt>
                <c:pt idx="6">
                  <c:v>5.93</c:v>
                </c:pt>
                <c:pt idx="7">
                  <c:v>7.43</c:v>
                </c:pt>
                <c:pt idx="8">
                  <c:v>7.12</c:v>
                </c:pt>
                <c:pt idx="9">
                  <c:v>1.74</c:v>
                </c:pt>
                <c:pt idx="10">
                  <c:v>5.76</c:v>
                </c:pt>
                <c:pt idx="11">
                  <c:v>6.46</c:v>
                </c:pt>
                <c:pt idx="12">
                  <c:v>3.72</c:v>
                </c:pt>
              </c:numCache>
            </c:numRef>
          </c:val>
          <c:smooth val="0"/>
          <c:extLst>
            <c:ext xmlns:c16="http://schemas.microsoft.com/office/drawing/2014/chart" uri="{C3380CC4-5D6E-409C-BE32-E72D297353CC}">
              <c16:uniqueId val="{00000000-A72D-4CAA-A698-E829B0D80F72}"/>
            </c:ext>
          </c:extLst>
        </c:ser>
        <c:ser>
          <c:idx val="1"/>
          <c:order val="1"/>
          <c:tx>
            <c:strRef>
              <c:f>Sheet1!$C$1</c:f>
              <c:strCache>
                <c:ptCount val="1"/>
                <c:pt idx="0">
                  <c:v>Series 2</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Sheet1!$C$2:$C$14</c:f>
              <c:numCache>
                <c:formatCode>General</c:formatCode>
                <c:ptCount val="13"/>
              </c:numCache>
            </c:numRef>
          </c:val>
          <c:smooth val="0"/>
          <c:extLst>
            <c:ext xmlns:c16="http://schemas.microsoft.com/office/drawing/2014/chart" uri="{C3380CC4-5D6E-409C-BE32-E72D297353CC}">
              <c16:uniqueId val="{00000001-A72D-4CAA-A698-E829B0D80F72}"/>
            </c:ext>
          </c:extLst>
        </c:ser>
        <c:ser>
          <c:idx val="2"/>
          <c:order val="2"/>
          <c:tx>
            <c:strRef>
              <c:f>Sheet1!$D$1</c:f>
              <c:strCache>
                <c:ptCount val="1"/>
                <c:pt idx="0">
                  <c:v>Series 3</c:v>
                </c:pt>
              </c:strCache>
            </c:strRef>
          </c:tx>
          <c:spPr>
            <a:ln w="22225" cap="rnd">
              <a:solidFill>
                <a:schemeClr val="accent2">
                  <a:tint val="6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Sheet1!$D$2:$D$14</c:f>
              <c:numCache>
                <c:formatCode>General</c:formatCode>
                <c:ptCount val="13"/>
              </c:numCache>
            </c:numRef>
          </c:val>
          <c:smooth val="0"/>
          <c:extLst>
            <c:ext xmlns:c16="http://schemas.microsoft.com/office/drawing/2014/chart" uri="{C3380CC4-5D6E-409C-BE32-E72D297353CC}">
              <c16:uniqueId val="{00000002-A72D-4CAA-A698-E829B0D80F72}"/>
            </c:ext>
          </c:extLst>
        </c:ser>
        <c:dLbls>
          <c:dLblPos val="t"/>
          <c:showLegendKey val="0"/>
          <c:showVal val="1"/>
          <c:showCatName val="0"/>
          <c:showSerName val="0"/>
          <c:showPercent val="0"/>
          <c:showBubbleSize val="0"/>
        </c:dLbls>
        <c:upDownBars>
          <c:gapWidth val="150"/>
          <c:upBars>
            <c:spPr>
              <a:solidFill>
                <a:schemeClr val="lt1"/>
              </a:solidFill>
              <a:ln w="9525" cap="flat" cmpd="sng" algn="ctr">
                <a:solidFill>
                  <a:schemeClr val="dk1">
                    <a:lumMod val="50000"/>
                    <a:lumOff val="50000"/>
                  </a:schemeClr>
                </a:solidFill>
                <a:round/>
              </a:ln>
              <a:effectLst/>
            </c:spPr>
          </c:upBars>
          <c:downBars>
            <c:spPr>
              <a:solidFill>
                <a:schemeClr val="dk1">
                  <a:lumMod val="75000"/>
                  <a:lumOff val="25000"/>
                </a:schemeClr>
              </a:solidFill>
              <a:ln w="9525" cap="flat" cmpd="sng" algn="ctr">
                <a:solidFill>
                  <a:schemeClr val="dk1">
                    <a:lumMod val="50000"/>
                    <a:lumOff val="50000"/>
                  </a:schemeClr>
                </a:solidFill>
                <a:round/>
              </a:ln>
              <a:effectLst/>
            </c:spPr>
          </c:downBars>
        </c:upDownBars>
        <c:smooth val="0"/>
        <c:axId val="529278536"/>
        <c:axId val="529280832"/>
      </c:lineChart>
      <c:catAx>
        <c:axId val="529278536"/>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29280832"/>
        <c:crosses val="autoZero"/>
        <c:auto val="1"/>
        <c:lblAlgn val="ctr"/>
        <c:lblOffset val="100"/>
        <c:noMultiLvlLbl val="0"/>
      </c:catAx>
      <c:valAx>
        <c:axId val="529280832"/>
        <c:scaling>
          <c:orientation val="minMax"/>
        </c:scaling>
        <c:delete val="1"/>
        <c:axPos val="l"/>
        <c:numFmt formatCode="General" sourceLinked="1"/>
        <c:majorTickMark val="out"/>
        <c:minorTickMark val="none"/>
        <c:tickLblPos val="nextTo"/>
        <c:crossAx val="52927853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nông, lâm nghiệp và thủy sản </c:v>
                </c:pt>
                <c:pt idx="1">
                  <c:v>công nghiệp và xây dựng </c:v>
                </c:pt>
                <c:pt idx="2">
                  <c:v>dịch vụ</c:v>
                </c:pt>
                <c:pt idx="3">
                  <c:v>thuế sản phẩm trừ trợ cấp sản phẩm </c:v>
                </c:pt>
              </c:strCache>
            </c:strRef>
          </c:cat>
          <c:val>
            <c:numRef>
              <c:f>Sheet1!$B$2:$B$5</c:f>
              <c:numCache>
                <c:formatCode>General</c:formatCode>
                <c:ptCount val="4"/>
                <c:pt idx="0">
                  <c:v>11.32</c:v>
                </c:pt>
                <c:pt idx="1">
                  <c:v>36.619999999999997</c:v>
                </c:pt>
                <c:pt idx="2">
                  <c:v>43.25</c:v>
                </c:pt>
                <c:pt idx="3">
                  <c:v>8.81</c:v>
                </c:pt>
              </c:numCache>
            </c:numRef>
          </c:val>
          <c:extLst>
            <c:ext xmlns:c16="http://schemas.microsoft.com/office/drawing/2014/chart" uri="{C3380CC4-5D6E-409C-BE32-E72D297353CC}">
              <c16:uniqueId val="{00000000-99C0-4D19-A373-BACB41C3725C}"/>
            </c:ext>
          </c:extLst>
        </c:ser>
        <c:ser>
          <c:idx val="1"/>
          <c:order val="1"/>
          <c:tx>
            <c:strRef>
              <c:f>Sheet1!$C$1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nông, lâm nghiệp và thủy sản </c:v>
                </c:pt>
                <c:pt idx="1">
                  <c:v>công nghiệp và xây dựng </c:v>
                </c:pt>
                <c:pt idx="2">
                  <c:v>dịch vụ</c:v>
                </c:pt>
                <c:pt idx="3">
                  <c:v>thuế sản phẩm trừ trợ cấp sản phẩm </c:v>
                </c:pt>
              </c:strCache>
            </c:strRef>
          </c:cat>
          <c:val>
            <c:numRef>
              <c:f>Sheet1!$C$2:$C$5</c:f>
              <c:numCache>
                <c:formatCode>General</c:formatCode>
                <c:ptCount val="4"/>
              </c:numCache>
            </c:numRef>
          </c:val>
          <c:extLst>
            <c:ext xmlns:c16="http://schemas.microsoft.com/office/drawing/2014/chart" uri="{C3380CC4-5D6E-409C-BE32-E72D297353CC}">
              <c16:uniqueId val="{00000001-99C0-4D19-A373-BACB41C3725C}"/>
            </c:ext>
          </c:extLst>
        </c:ser>
        <c:ser>
          <c:idx val="2"/>
          <c:order val="2"/>
          <c:tx>
            <c:strRef>
              <c:f>Sheet1!$D$1</c:f>
              <c:strCache>
                <c:ptCount val="1"/>
                <c:pt idx="0">
                  <c:v>Column2</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nông, lâm nghiệp và thủy sản </c:v>
                </c:pt>
                <c:pt idx="1">
                  <c:v>công nghiệp và xây dựng </c:v>
                </c:pt>
                <c:pt idx="2">
                  <c:v>dịch vụ</c:v>
                </c:pt>
                <c:pt idx="3">
                  <c:v>thuế sản phẩm trừ trợ cấp sản phẩm </c:v>
                </c:pt>
              </c:strCache>
            </c:strRef>
          </c:cat>
          <c:val>
            <c:numRef>
              <c:f>Sheet1!$D$2:$D$5</c:f>
              <c:numCache>
                <c:formatCode>General</c:formatCode>
                <c:ptCount val="4"/>
              </c:numCache>
            </c:numRef>
          </c:val>
          <c:extLst>
            <c:ext xmlns:c16="http://schemas.microsoft.com/office/drawing/2014/chart" uri="{C3380CC4-5D6E-409C-BE32-E72D297353CC}">
              <c16:uniqueId val="{00000002-99C0-4D19-A373-BACB41C3725C}"/>
            </c:ext>
          </c:extLst>
        </c:ser>
        <c:dLbls>
          <c:dLblPos val="outEnd"/>
          <c:showLegendKey val="0"/>
          <c:showVal val="1"/>
          <c:showCatName val="0"/>
          <c:showSerName val="0"/>
          <c:showPercent val="0"/>
          <c:showBubbleSize val="0"/>
        </c:dLbls>
        <c:gapWidth val="219"/>
        <c:overlap val="-27"/>
        <c:axId val="502238992"/>
        <c:axId val="502233416"/>
      </c:barChart>
      <c:catAx>
        <c:axId val="50223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233416"/>
        <c:crosses val="autoZero"/>
        <c:auto val="1"/>
        <c:lblAlgn val="ctr"/>
        <c:lblOffset val="100"/>
        <c:noMultiLvlLbl val="0"/>
      </c:catAx>
      <c:valAx>
        <c:axId val="502233416"/>
        <c:scaling>
          <c:orientation val="minMax"/>
        </c:scaling>
        <c:delete val="1"/>
        <c:axPos val="l"/>
        <c:numFmt formatCode="General" sourceLinked="1"/>
        <c:majorTickMark val="none"/>
        <c:minorTickMark val="none"/>
        <c:tickLblPos val="nextTo"/>
        <c:crossAx val="502238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241208519068846E-2"/>
          <c:y val="4.1753653444676408E-2"/>
          <c:w val="0.94551758296186228"/>
          <c:h val="0.71124165562052888"/>
        </c:manualLayout>
      </c:layout>
      <c:lineChart>
        <c:grouping val="standard"/>
        <c:varyColors val="0"/>
        <c:ser>
          <c:idx val="0"/>
          <c:order val="0"/>
          <c:tx>
            <c:strRef>
              <c:f>Sheet1!$B$1</c:f>
              <c:strCache>
                <c:ptCount val="1"/>
                <c:pt idx="0">
                  <c:v>Tăng trưởng ngành xây dựng 6 tháng đầu năm các năm 2011-2023</c:v>
                </c:pt>
              </c:strCache>
            </c:strRef>
          </c:tx>
          <c:spPr>
            <a:ln w="28575" cap="rnd">
              <a:solidFill>
                <a:schemeClr val="accent1"/>
              </a:solidFill>
              <a:round/>
            </a:ln>
            <a:effectLst/>
          </c:spPr>
          <c:marker>
            <c:symbol val="none"/>
          </c:marker>
          <c:dLbls>
            <c:dLbl>
              <c:idx val="9"/>
              <c:layout>
                <c:manualLayout>
                  <c:x val="-9.525141080990443E-2"/>
                  <c:y val="1.7240011378523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CB-4D32-9EAE-E1A0B359BB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Sheet1!$B$2:$B$14</c:f>
              <c:numCache>
                <c:formatCode>General</c:formatCode>
                <c:ptCount val="13"/>
                <c:pt idx="0">
                  <c:v>5.92</c:v>
                </c:pt>
                <c:pt idx="1">
                  <c:v>4.93</c:v>
                </c:pt>
                <c:pt idx="2">
                  <c:v>4.9000000000000004</c:v>
                </c:pt>
                <c:pt idx="3">
                  <c:v>5.22</c:v>
                </c:pt>
                <c:pt idx="4">
                  <c:v>6.32</c:v>
                </c:pt>
                <c:pt idx="5">
                  <c:v>5.56</c:v>
                </c:pt>
                <c:pt idx="6">
                  <c:v>5.83</c:v>
                </c:pt>
                <c:pt idx="7">
                  <c:v>7.28</c:v>
                </c:pt>
                <c:pt idx="8">
                  <c:v>6.98</c:v>
                </c:pt>
                <c:pt idx="9">
                  <c:v>2.04</c:v>
                </c:pt>
                <c:pt idx="10">
                  <c:v>5.74</c:v>
                </c:pt>
                <c:pt idx="11">
                  <c:v>6.42</c:v>
                </c:pt>
                <c:pt idx="12">
                  <c:v>4.74</c:v>
                </c:pt>
              </c:numCache>
            </c:numRef>
          </c:val>
          <c:smooth val="0"/>
          <c:extLst>
            <c:ext xmlns:c16="http://schemas.microsoft.com/office/drawing/2014/chart" uri="{C3380CC4-5D6E-409C-BE32-E72D297353CC}">
              <c16:uniqueId val="{00000000-DFEF-4AFE-AAAB-66B414CF31BA}"/>
            </c:ext>
          </c:extLst>
        </c:ser>
        <c:dLbls>
          <c:dLblPos val="t"/>
          <c:showLegendKey val="0"/>
          <c:showVal val="1"/>
          <c:showCatName val="0"/>
          <c:showSerName val="0"/>
          <c:showPercent val="0"/>
          <c:showBubbleSize val="0"/>
        </c:dLbls>
        <c:smooth val="0"/>
        <c:axId val="1681885503"/>
        <c:axId val="1681885983"/>
      </c:lineChart>
      <c:catAx>
        <c:axId val="168188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885983"/>
        <c:crosses val="autoZero"/>
        <c:auto val="1"/>
        <c:lblAlgn val="ctr"/>
        <c:lblOffset val="100"/>
        <c:noMultiLvlLbl val="0"/>
      </c:catAx>
      <c:valAx>
        <c:axId val="1681885983"/>
        <c:scaling>
          <c:orientation val="minMax"/>
        </c:scaling>
        <c:delete val="1"/>
        <c:axPos val="l"/>
        <c:numFmt formatCode="General" sourceLinked="1"/>
        <c:majorTickMark val="none"/>
        <c:minorTickMark val="none"/>
        <c:tickLblPos val="nextTo"/>
        <c:crossAx val="1681885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QI-2023</c:v>
                </c:pt>
              </c:strCache>
            </c:strRef>
          </c:tx>
          <c:spPr>
            <a:solidFill>
              <a:schemeClr val="accent1"/>
            </a:solidFill>
            <a:ln>
              <a:noFill/>
            </a:ln>
            <a:effectLst/>
          </c:spPr>
          <c:invertIfNegative val="0"/>
          <c:cat>
            <c:strRef>
              <c:f>Sheet1!$A$2:$A$5</c:f>
              <c:strCache>
                <c:ptCount val="4"/>
                <c:pt idx="0">
                  <c:v>Toàn ngành XD</c:v>
                </c:pt>
                <c:pt idx="1">
                  <c:v>XD Công trình kỹ thuật hạ tầng</c:v>
                </c:pt>
                <c:pt idx="2">
                  <c:v>XD nhà các loại</c:v>
                </c:pt>
                <c:pt idx="3">
                  <c:v>xây dựng chuyên dụng</c:v>
                </c:pt>
              </c:strCache>
            </c:strRef>
          </c:cat>
          <c:val>
            <c:numRef>
              <c:f>Sheet1!$B$2:$B$5</c:f>
              <c:numCache>
                <c:formatCode>General</c:formatCode>
                <c:ptCount val="4"/>
                <c:pt idx="0">
                  <c:v>-33.1</c:v>
                </c:pt>
                <c:pt idx="1">
                  <c:v>-28.4</c:v>
                </c:pt>
                <c:pt idx="2">
                  <c:v>-32.799999999999997</c:v>
                </c:pt>
                <c:pt idx="3">
                  <c:v>-40.1</c:v>
                </c:pt>
              </c:numCache>
            </c:numRef>
          </c:val>
          <c:extLst>
            <c:ext xmlns:c16="http://schemas.microsoft.com/office/drawing/2014/chart" uri="{C3380CC4-5D6E-409C-BE32-E72D297353CC}">
              <c16:uniqueId val="{00000000-2AB1-41CD-B768-4E47032FD707}"/>
            </c:ext>
          </c:extLst>
        </c:ser>
        <c:ser>
          <c:idx val="1"/>
          <c:order val="1"/>
          <c:tx>
            <c:strRef>
              <c:f>Sheet1!$C$1</c:f>
              <c:strCache>
                <c:ptCount val="1"/>
                <c:pt idx="0">
                  <c:v>QII-2023</c:v>
                </c:pt>
              </c:strCache>
            </c:strRef>
          </c:tx>
          <c:spPr>
            <a:solidFill>
              <a:schemeClr val="accent2"/>
            </a:solidFill>
            <a:ln>
              <a:noFill/>
            </a:ln>
            <a:effectLst/>
          </c:spPr>
          <c:invertIfNegative val="0"/>
          <c:cat>
            <c:strRef>
              <c:f>Sheet1!$A$2:$A$5</c:f>
              <c:strCache>
                <c:ptCount val="4"/>
                <c:pt idx="0">
                  <c:v>Toàn ngành XD</c:v>
                </c:pt>
                <c:pt idx="1">
                  <c:v>XD Công trình kỹ thuật hạ tầng</c:v>
                </c:pt>
                <c:pt idx="2">
                  <c:v>XD nhà các loại</c:v>
                </c:pt>
                <c:pt idx="3">
                  <c:v>xây dựng chuyên dụng</c:v>
                </c:pt>
              </c:strCache>
            </c:strRef>
          </c:cat>
          <c:val>
            <c:numRef>
              <c:f>Sheet1!$C$2:$C$5</c:f>
              <c:numCache>
                <c:formatCode>General</c:formatCode>
                <c:ptCount val="4"/>
                <c:pt idx="0">
                  <c:v>-5.7</c:v>
                </c:pt>
                <c:pt idx="1">
                  <c:v>1.2</c:v>
                </c:pt>
                <c:pt idx="2">
                  <c:v>-6</c:v>
                </c:pt>
                <c:pt idx="3">
                  <c:v>-14.6</c:v>
                </c:pt>
              </c:numCache>
            </c:numRef>
          </c:val>
          <c:extLst>
            <c:ext xmlns:c16="http://schemas.microsoft.com/office/drawing/2014/chart" uri="{C3380CC4-5D6E-409C-BE32-E72D297353CC}">
              <c16:uniqueId val="{00000001-2AB1-41CD-B768-4E47032FD707}"/>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Toàn ngành XD</c:v>
                </c:pt>
                <c:pt idx="1">
                  <c:v>XD Công trình kỹ thuật hạ tầng</c:v>
                </c:pt>
                <c:pt idx="2">
                  <c:v>XD nhà các loại</c:v>
                </c:pt>
                <c:pt idx="3">
                  <c:v>xây dựng chuyên dụng</c:v>
                </c:pt>
              </c:strCache>
            </c:strRef>
          </c:cat>
          <c:val>
            <c:numRef>
              <c:f>Sheet1!$D$2:$D$5</c:f>
              <c:numCache>
                <c:formatCode>General</c:formatCode>
                <c:ptCount val="4"/>
              </c:numCache>
            </c:numRef>
          </c:val>
          <c:extLst>
            <c:ext xmlns:c16="http://schemas.microsoft.com/office/drawing/2014/chart" uri="{C3380CC4-5D6E-409C-BE32-E72D297353CC}">
              <c16:uniqueId val="{00000002-2AB1-41CD-B768-4E47032FD707}"/>
            </c:ext>
          </c:extLst>
        </c:ser>
        <c:dLbls>
          <c:showLegendKey val="0"/>
          <c:showVal val="0"/>
          <c:showCatName val="0"/>
          <c:showSerName val="0"/>
          <c:showPercent val="0"/>
          <c:showBubbleSize val="0"/>
        </c:dLbls>
        <c:gapWidth val="219"/>
        <c:overlap val="-27"/>
        <c:axId val="1552443151"/>
        <c:axId val="1552417231"/>
      </c:barChart>
      <c:catAx>
        <c:axId val="1552443151"/>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417231"/>
        <c:crosses val="autoZero"/>
        <c:auto val="1"/>
        <c:lblAlgn val="ctr"/>
        <c:lblOffset val="100"/>
        <c:tickLblSkip val="1"/>
        <c:noMultiLvlLbl val="0"/>
      </c:catAx>
      <c:valAx>
        <c:axId val="155241723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44315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Vốn đầu tư thực hiện toàn xã hội</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7AE-43B4-8A13-1DA3FD240CF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7AE-43B4-8A13-1DA3FD240CF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7AE-43B4-8A13-1DA3FD240CF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7AE-43B4-8A13-1DA3FD240CF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Khu vực nhà nước</c:v>
                </c:pt>
                <c:pt idx="1">
                  <c:v>Khu vực ngoài nhà nước</c:v>
                </c:pt>
                <c:pt idx="2">
                  <c:v>Khu vực có vốn đầu tư trực tiếp nước ngoài</c:v>
                </c:pt>
              </c:strCache>
            </c:strRef>
          </c:cat>
          <c:val>
            <c:numRef>
              <c:f>Sheet1!$B$2:$B$5</c:f>
              <c:numCache>
                <c:formatCode>General</c:formatCode>
                <c:ptCount val="4"/>
                <c:pt idx="0">
                  <c:v>27.3</c:v>
                </c:pt>
                <c:pt idx="1">
                  <c:v>55.4</c:v>
                </c:pt>
                <c:pt idx="2">
                  <c:v>17.3</c:v>
                </c:pt>
              </c:numCache>
            </c:numRef>
          </c:val>
          <c:extLst>
            <c:ext xmlns:c16="http://schemas.microsoft.com/office/drawing/2014/chart" uri="{C3380CC4-5D6E-409C-BE32-E72D297353CC}">
              <c16:uniqueId val="{00000000-6BD1-42A9-944F-A25FFC361DD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496534789710523E-2"/>
          <c:y val="1.8471564435982413E-2"/>
          <c:w val="0.91553750969508296"/>
          <c:h val="0.7584283686593557"/>
        </c:manualLayout>
      </c:layout>
      <c:barChart>
        <c:barDir val="col"/>
        <c:grouping val="clustered"/>
        <c:varyColors val="0"/>
        <c:ser>
          <c:idx val="0"/>
          <c:order val="0"/>
          <c:tx>
            <c:strRef>
              <c:f>Sheet1!$B$1</c:f>
              <c:strCache>
                <c:ptCount val="1"/>
                <c:pt idx="0">
                  <c:v>6 tháng đầu 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Nam</c:v>
                </c:pt>
                <c:pt idx="1">
                  <c:v>Nữ</c:v>
                </c:pt>
                <c:pt idx="2">
                  <c:v>Thành thị</c:v>
                </c:pt>
                <c:pt idx="3">
                  <c:v>Nông thôn</c:v>
                </c:pt>
              </c:strCache>
            </c:strRef>
          </c:cat>
          <c:val>
            <c:numRef>
              <c:f>Sheet1!$B$2:$B$5</c:f>
              <c:numCache>
                <c:formatCode>General</c:formatCode>
                <c:ptCount val="4"/>
                <c:pt idx="0">
                  <c:v>1.6</c:v>
                </c:pt>
                <c:pt idx="1">
                  <c:v>0.82</c:v>
                </c:pt>
                <c:pt idx="2">
                  <c:v>0.96</c:v>
                </c:pt>
                <c:pt idx="3">
                  <c:v>1.46</c:v>
                </c:pt>
              </c:numCache>
            </c:numRef>
          </c:val>
          <c:extLst>
            <c:ext xmlns:c16="http://schemas.microsoft.com/office/drawing/2014/chart" uri="{C3380CC4-5D6E-409C-BE32-E72D297353CC}">
              <c16:uniqueId val="{00000000-E252-4F8D-A267-591D45B83C98}"/>
            </c:ext>
          </c:extLst>
        </c:ser>
        <c:ser>
          <c:idx val="1"/>
          <c:order val="1"/>
          <c:tx>
            <c:strRef>
              <c:f>Sheet1!$C$1</c:f>
              <c:strCache>
                <c:ptCount val="1"/>
                <c:pt idx="0">
                  <c:v>6 tháng cuối 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Nam</c:v>
                </c:pt>
                <c:pt idx="1">
                  <c:v>Nữ</c:v>
                </c:pt>
                <c:pt idx="2">
                  <c:v>Thành thị</c:v>
                </c:pt>
                <c:pt idx="3">
                  <c:v>Nông thôn</c:v>
                </c:pt>
              </c:strCache>
            </c:strRef>
          </c:cat>
          <c:val>
            <c:numRef>
              <c:f>Sheet1!$C$2:$C$5</c:f>
              <c:numCache>
                <c:formatCode>General</c:formatCode>
                <c:ptCount val="4"/>
                <c:pt idx="0">
                  <c:v>1.73</c:v>
                </c:pt>
                <c:pt idx="1">
                  <c:v>0.83</c:v>
                </c:pt>
                <c:pt idx="2">
                  <c:v>0.98</c:v>
                </c:pt>
                <c:pt idx="3">
                  <c:v>1.58</c:v>
                </c:pt>
              </c:numCache>
            </c:numRef>
          </c:val>
          <c:extLst>
            <c:ext xmlns:c16="http://schemas.microsoft.com/office/drawing/2014/chart" uri="{C3380CC4-5D6E-409C-BE32-E72D297353CC}">
              <c16:uniqueId val="{00000001-E252-4F8D-A267-591D45B83C98}"/>
            </c:ext>
          </c:extLst>
        </c:ser>
        <c:ser>
          <c:idx val="2"/>
          <c:order val="2"/>
          <c:tx>
            <c:strRef>
              <c:f>Sheet1!$D$1</c:f>
              <c:strCache>
                <c:ptCount val="1"/>
                <c:pt idx="0">
                  <c:v>6 tháng đầu 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Nam</c:v>
                </c:pt>
                <c:pt idx="1">
                  <c:v>Nữ</c:v>
                </c:pt>
                <c:pt idx="2">
                  <c:v>Thành thị</c:v>
                </c:pt>
                <c:pt idx="3">
                  <c:v>Nông thôn</c:v>
                </c:pt>
              </c:strCache>
            </c:strRef>
          </c:cat>
          <c:val>
            <c:numRef>
              <c:f>Sheet1!$D$2:$D$5</c:f>
              <c:numCache>
                <c:formatCode>General</c:formatCode>
                <c:ptCount val="4"/>
                <c:pt idx="0">
                  <c:v>1.74</c:v>
                </c:pt>
                <c:pt idx="1">
                  <c:v>0.82</c:v>
                </c:pt>
                <c:pt idx="2">
                  <c:v>0.99</c:v>
                </c:pt>
                <c:pt idx="3">
                  <c:v>1.57</c:v>
                </c:pt>
              </c:numCache>
            </c:numRef>
          </c:val>
          <c:extLst>
            <c:ext xmlns:c16="http://schemas.microsoft.com/office/drawing/2014/chart" uri="{C3380CC4-5D6E-409C-BE32-E72D297353CC}">
              <c16:uniqueId val="{00000002-E252-4F8D-A267-591D45B83C98}"/>
            </c:ext>
          </c:extLst>
        </c:ser>
        <c:dLbls>
          <c:dLblPos val="outEnd"/>
          <c:showLegendKey val="0"/>
          <c:showVal val="1"/>
          <c:showCatName val="0"/>
          <c:showSerName val="0"/>
          <c:showPercent val="0"/>
          <c:showBubbleSize val="0"/>
        </c:dLbls>
        <c:gapWidth val="219"/>
        <c:overlap val="-27"/>
        <c:axId val="639700864"/>
        <c:axId val="639702832"/>
      </c:barChart>
      <c:catAx>
        <c:axId val="63970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702832"/>
        <c:crosses val="autoZero"/>
        <c:auto val="1"/>
        <c:lblAlgn val="ctr"/>
        <c:lblOffset val="100"/>
        <c:noMultiLvlLbl val="0"/>
      </c:catAx>
      <c:valAx>
        <c:axId val="639702832"/>
        <c:scaling>
          <c:orientation val="minMax"/>
        </c:scaling>
        <c:delete val="1"/>
        <c:axPos val="l"/>
        <c:numFmt formatCode="General" sourceLinked="1"/>
        <c:majorTickMark val="none"/>
        <c:minorTickMark val="none"/>
        <c:tickLblPos val="nextTo"/>
        <c:crossAx val="63970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9BE3-93C5-48A6-A5D3-4346031A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4778</TotalTime>
  <Pages>17</Pages>
  <Words>4560</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Nguyễn</dc:creator>
  <cp:keywords/>
  <dc:description/>
  <cp:lastModifiedBy>PC</cp:lastModifiedBy>
  <cp:revision>263</cp:revision>
  <cp:lastPrinted>2023-07-12T10:25:00Z</cp:lastPrinted>
  <dcterms:created xsi:type="dcterms:W3CDTF">2022-12-06T09:52:00Z</dcterms:created>
  <dcterms:modified xsi:type="dcterms:W3CDTF">2023-07-17T02:49:00Z</dcterms:modified>
</cp:coreProperties>
</file>