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568"/>
        <w:gridCol w:w="5504"/>
      </w:tblGrid>
      <w:tr w:rsidR="006521E2" w:rsidRPr="00873E00" w:rsidTr="0001418B">
        <w:tc>
          <w:tcPr>
            <w:tcW w:w="3708" w:type="dxa"/>
            <w:shd w:val="clear" w:color="auto" w:fill="auto"/>
          </w:tcPr>
          <w:p w:rsidR="006521E2" w:rsidRPr="00873E00" w:rsidRDefault="006521E2" w:rsidP="0001418B">
            <w:pPr>
              <w:jc w:val="center"/>
              <w:rPr>
                <w:rFonts w:ascii="Times New Roman" w:hAnsi="Times New Roman"/>
                <w:sz w:val="26"/>
                <w:szCs w:val="26"/>
              </w:rPr>
            </w:pPr>
            <w:r w:rsidRPr="00873E00">
              <w:rPr>
                <w:rFonts w:ascii="Times New Roman" w:hAnsi="Times New Roman"/>
                <w:sz w:val="26"/>
                <w:szCs w:val="26"/>
              </w:rPr>
              <w:t>UBND TỈNH QUẢNG BÌNH</w:t>
            </w:r>
          </w:p>
          <w:p w:rsidR="006521E2" w:rsidRPr="00873E00" w:rsidRDefault="006521E2" w:rsidP="0001418B">
            <w:pPr>
              <w:jc w:val="center"/>
              <w:rPr>
                <w:rFonts w:ascii="Times New Roman" w:hAnsi="Times New Roman"/>
                <w:b/>
                <w:sz w:val="26"/>
                <w:szCs w:val="26"/>
              </w:rPr>
            </w:pPr>
            <w:r w:rsidRPr="00873E00">
              <w:rPr>
                <w:rFonts w:ascii="Times New Roman" w:hAnsi="Times New Roman"/>
                <w:b/>
                <w:sz w:val="26"/>
                <w:szCs w:val="26"/>
              </w:rPr>
              <w:t>SỞ XÂY DỰNG</w:t>
            </w:r>
          </w:p>
        </w:tc>
        <w:tc>
          <w:tcPr>
            <w:tcW w:w="5760" w:type="dxa"/>
            <w:shd w:val="clear" w:color="auto" w:fill="auto"/>
          </w:tcPr>
          <w:p w:rsidR="006521E2" w:rsidRPr="00873E00" w:rsidRDefault="006521E2" w:rsidP="0001418B">
            <w:pPr>
              <w:jc w:val="center"/>
              <w:rPr>
                <w:rFonts w:ascii="Times New Roman" w:hAnsi="Times New Roman"/>
                <w:b/>
                <w:sz w:val="26"/>
                <w:szCs w:val="26"/>
              </w:rPr>
            </w:pPr>
            <w:r w:rsidRPr="00873E00">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873E00">
                  <w:rPr>
                    <w:rFonts w:ascii="Times New Roman" w:hAnsi="Times New Roman"/>
                    <w:b/>
                    <w:sz w:val="26"/>
                    <w:szCs w:val="26"/>
                  </w:rPr>
                  <w:t>NAM</w:t>
                </w:r>
              </w:smartTag>
            </w:smartTag>
          </w:p>
          <w:p w:rsidR="006521E2" w:rsidRPr="0008512C" w:rsidRDefault="006521E2" w:rsidP="0001418B">
            <w:pPr>
              <w:jc w:val="center"/>
              <w:rPr>
                <w:rFonts w:ascii="Times New Roman" w:hAnsi="Times New Roman"/>
                <w:b/>
                <w:sz w:val="26"/>
                <w:szCs w:val="26"/>
              </w:rPr>
            </w:pPr>
            <w:r w:rsidRPr="0008512C">
              <w:rPr>
                <w:b/>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756920</wp:posOffset>
                      </wp:positionH>
                      <wp:positionV relativeFrom="paragraph">
                        <wp:posOffset>187960</wp:posOffset>
                      </wp:positionV>
                      <wp:extent cx="1943100" cy="0"/>
                      <wp:effectExtent l="7620"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6A5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4.8pt" to="212.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"/>
                  </w:pict>
                </mc:Fallback>
              </mc:AlternateContent>
            </w:r>
            <w:r w:rsidRPr="0008512C">
              <w:rPr>
                <w:rFonts w:ascii="Times New Roman" w:hAnsi="Times New Roman"/>
                <w:b/>
                <w:sz w:val="26"/>
                <w:szCs w:val="26"/>
              </w:rPr>
              <w:t>Độc lập - Tự do - Hạnh Phúc</w:t>
            </w:r>
          </w:p>
        </w:tc>
      </w:tr>
      <w:tr w:rsidR="006521E2" w:rsidRPr="00873E00" w:rsidTr="0001418B">
        <w:tc>
          <w:tcPr>
            <w:tcW w:w="3708" w:type="dxa"/>
            <w:shd w:val="clear" w:color="auto" w:fill="auto"/>
          </w:tcPr>
          <w:p w:rsidR="006521E2" w:rsidRPr="00873E00" w:rsidRDefault="006521E2" w:rsidP="0001418B">
            <w:pPr>
              <w:spacing w:before="240"/>
              <w:jc w:val="center"/>
              <w:rPr>
                <w:rFonts w:ascii="Times New Roman" w:hAnsi="Times New Roman"/>
                <w:sz w:val="26"/>
                <w:szCs w:val="26"/>
              </w:rPr>
            </w:pPr>
            <w:r w:rsidRPr="00873E00">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836930</wp:posOffset>
                      </wp:positionH>
                      <wp:positionV relativeFrom="paragraph">
                        <wp:posOffset>-3810</wp:posOffset>
                      </wp:positionV>
                      <wp:extent cx="571500" cy="0"/>
                      <wp:effectExtent l="12065"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9C7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3pt" to="110.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"/>
                  </w:pict>
                </mc:Fallback>
              </mc:AlternateContent>
            </w:r>
            <w:r w:rsidRPr="00873E00">
              <w:rPr>
                <w:rFonts w:ascii="Times New Roman" w:hAnsi="Times New Roman"/>
                <w:sz w:val="26"/>
                <w:szCs w:val="26"/>
              </w:rPr>
              <w:t xml:space="preserve">Số </w:t>
            </w:r>
            <w:r>
              <w:rPr>
                <w:rFonts w:ascii="Times New Roman" w:hAnsi="Times New Roman"/>
                <w:sz w:val="26"/>
                <w:szCs w:val="26"/>
              </w:rPr>
              <w:t>2436</w:t>
            </w:r>
            <w:r w:rsidRPr="00873E00">
              <w:rPr>
                <w:rFonts w:ascii="Times New Roman" w:hAnsi="Times New Roman"/>
                <w:sz w:val="26"/>
                <w:szCs w:val="26"/>
              </w:rPr>
              <w:t xml:space="preserve"> /QĐ-SXD</w:t>
            </w:r>
          </w:p>
        </w:tc>
        <w:tc>
          <w:tcPr>
            <w:tcW w:w="5760" w:type="dxa"/>
            <w:shd w:val="clear" w:color="auto" w:fill="auto"/>
          </w:tcPr>
          <w:p w:rsidR="006521E2" w:rsidRPr="00873E00" w:rsidRDefault="006521E2" w:rsidP="006521E2">
            <w:pPr>
              <w:spacing w:before="240"/>
              <w:jc w:val="right"/>
              <w:rPr>
                <w:rFonts w:ascii="Times New Roman" w:hAnsi="Times New Roman"/>
                <w:i/>
                <w:sz w:val="26"/>
                <w:szCs w:val="26"/>
              </w:rPr>
            </w:pPr>
            <w:r w:rsidRPr="00873E00">
              <w:rPr>
                <w:rFonts w:ascii="Times New Roman" w:hAnsi="Times New Roman"/>
                <w:i/>
                <w:sz w:val="26"/>
                <w:szCs w:val="26"/>
              </w:rPr>
              <w:t>Quảng Bình, ngày</w:t>
            </w:r>
            <w:r>
              <w:rPr>
                <w:rFonts w:ascii="Times New Roman" w:hAnsi="Times New Roman"/>
                <w:i/>
                <w:sz w:val="26"/>
                <w:szCs w:val="26"/>
              </w:rPr>
              <w:t xml:space="preserve"> 23</w:t>
            </w:r>
            <w:r>
              <w:rPr>
                <w:rFonts w:ascii="Times New Roman" w:hAnsi="Times New Roman"/>
                <w:i/>
                <w:sz w:val="26"/>
                <w:szCs w:val="26"/>
              </w:rPr>
              <w:t xml:space="preserve">  tháng </w:t>
            </w:r>
            <w:r>
              <w:rPr>
                <w:rFonts w:ascii="Times New Roman" w:hAnsi="Times New Roman"/>
                <w:i/>
                <w:sz w:val="26"/>
                <w:szCs w:val="26"/>
              </w:rPr>
              <w:t>7</w:t>
            </w:r>
            <w:r w:rsidRPr="00873E00">
              <w:rPr>
                <w:rFonts w:ascii="Times New Roman" w:hAnsi="Times New Roman"/>
                <w:i/>
                <w:sz w:val="26"/>
                <w:szCs w:val="26"/>
              </w:rPr>
              <w:t xml:space="preserve"> năm 201</w:t>
            </w:r>
            <w:r>
              <w:rPr>
                <w:rFonts w:ascii="Times New Roman" w:hAnsi="Times New Roman"/>
                <w:i/>
                <w:sz w:val="26"/>
                <w:szCs w:val="26"/>
              </w:rPr>
              <w:t>9</w:t>
            </w:r>
          </w:p>
        </w:tc>
      </w:tr>
    </w:tbl>
    <w:p w:rsidR="006521E2" w:rsidRPr="00873E00" w:rsidRDefault="006521E2" w:rsidP="006521E2">
      <w:pPr>
        <w:spacing w:before="240"/>
        <w:rPr>
          <w:rFonts w:ascii="Times New Roman" w:hAnsi="Times New Roman"/>
          <w:sz w:val="18"/>
          <w:szCs w:val="26"/>
        </w:rPr>
      </w:pPr>
    </w:p>
    <w:p w:rsidR="006521E2" w:rsidRPr="00873E00" w:rsidRDefault="006521E2" w:rsidP="006521E2">
      <w:pPr>
        <w:rPr>
          <w:rFonts w:ascii=".VnTimeH" w:hAnsi=".VnTimeH"/>
          <w:sz w:val="9"/>
        </w:rPr>
      </w:pPr>
    </w:p>
    <w:p w:rsidR="006521E2" w:rsidRPr="00873E00" w:rsidRDefault="006521E2" w:rsidP="006521E2">
      <w:pPr>
        <w:pStyle w:val="Heading8"/>
        <w:spacing w:after="120"/>
        <w:rPr>
          <w:rFonts w:ascii="Times New Roman" w:hAnsi="Times New Roman"/>
          <w:color w:val="auto"/>
          <w:sz w:val="28"/>
          <w:szCs w:val="28"/>
          <w:lang w:val="pt-BR"/>
        </w:rPr>
      </w:pPr>
      <w:r w:rsidRPr="00873E00">
        <w:rPr>
          <w:rFonts w:ascii="Times New Roman" w:hAnsi="Times New Roman"/>
          <w:color w:val="auto"/>
          <w:sz w:val="28"/>
          <w:szCs w:val="28"/>
          <w:lang w:val="pt-BR"/>
        </w:rPr>
        <w:t>QUYẾT ĐỊNH</w:t>
      </w:r>
    </w:p>
    <w:p w:rsidR="006521E2" w:rsidRPr="00873E00" w:rsidRDefault="006521E2" w:rsidP="006521E2">
      <w:pPr>
        <w:pStyle w:val="Heading8"/>
        <w:rPr>
          <w:rFonts w:ascii="Times New Roman" w:hAnsi="Times New Roman"/>
          <w:color w:val="auto"/>
          <w:sz w:val="28"/>
          <w:szCs w:val="28"/>
          <w:lang w:val="pt-BR"/>
        </w:rPr>
      </w:pPr>
      <w:r w:rsidRPr="00873E00">
        <w:rPr>
          <w:rFonts w:ascii="Times New Roman" w:hAnsi="Times New Roman"/>
          <w:color w:val="auto"/>
          <w:sz w:val="28"/>
          <w:szCs w:val="28"/>
          <w:lang w:val="pt-BR"/>
        </w:rPr>
        <w:t xml:space="preserve">Về việc công bố Chỉ số giá xây dựng </w:t>
      </w:r>
      <w:r>
        <w:rPr>
          <w:rFonts w:ascii="Times New Roman" w:hAnsi="Times New Roman"/>
          <w:color w:val="auto"/>
          <w:sz w:val="28"/>
          <w:szCs w:val="28"/>
          <w:lang w:val="pt-BR"/>
        </w:rPr>
        <w:t>tháng 5, 6 năm 2019</w:t>
      </w:r>
    </w:p>
    <w:p w:rsidR="006521E2" w:rsidRPr="00873E00" w:rsidRDefault="006521E2" w:rsidP="006521E2">
      <w:pPr>
        <w:pStyle w:val="Heading8"/>
        <w:rPr>
          <w:rFonts w:ascii="Times New Roman" w:hAnsi="Times New Roman"/>
          <w:color w:val="auto"/>
          <w:sz w:val="28"/>
          <w:szCs w:val="28"/>
          <w:lang w:val="pt-BR"/>
        </w:rPr>
      </w:pPr>
      <w:r w:rsidRPr="00873E00">
        <w:rPr>
          <w:rFonts w:ascii="Times New Roman" w:hAnsi="Times New Roman"/>
          <w:color w:val="auto"/>
          <w:sz w:val="28"/>
          <w:szCs w:val="28"/>
          <w:lang w:val="pt-BR"/>
        </w:rPr>
        <w:t xml:space="preserve"> trên địa bàn tỉnh Quảng Bình</w:t>
      </w:r>
    </w:p>
    <w:p w:rsidR="006521E2" w:rsidRPr="00873E00" w:rsidRDefault="006521E2" w:rsidP="006521E2">
      <w:pPr>
        <w:jc w:val="center"/>
        <w:rPr>
          <w:sz w:val="28"/>
          <w:szCs w:val="28"/>
          <w:lang w:val="pt-BR"/>
        </w:rPr>
      </w:pPr>
      <w:r w:rsidRPr="00873E00">
        <w:rPr>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17145</wp:posOffset>
                </wp:positionV>
                <wp:extent cx="11049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D72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35pt" to="2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k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m+SM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"/>
            </w:pict>
          </mc:Fallback>
        </mc:AlternateContent>
      </w:r>
    </w:p>
    <w:p w:rsidR="006521E2" w:rsidRPr="00873E00" w:rsidRDefault="006521E2" w:rsidP="006521E2">
      <w:pPr>
        <w:jc w:val="center"/>
        <w:rPr>
          <w:sz w:val="4"/>
          <w:lang w:val="pt-BR"/>
        </w:rPr>
      </w:pPr>
    </w:p>
    <w:p w:rsidR="006521E2" w:rsidRPr="00873E00" w:rsidRDefault="006521E2" w:rsidP="006521E2">
      <w:pPr>
        <w:jc w:val="center"/>
        <w:rPr>
          <w:rFonts w:ascii="Times New Roman" w:hAnsi="Times New Roman"/>
          <w:b/>
          <w:sz w:val="28"/>
          <w:szCs w:val="28"/>
          <w:lang w:val="de-DE"/>
        </w:rPr>
      </w:pPr>
      <w:r w:rsidRPr="00873E00">
        <w:rPr>
          <w:rFonts w:ascii="Times New Roman" w:hAnsi="Times New Roman"/>
          <w:b/>
          <w:sz w:val="28"/>
          <w:szCs w:val="28"/>
          <w:lang w:val="de-DE"/>
        </w:rPr>
        <w:t>GIÁM  ĐỐC SỞ XÂY DỰNG QUẢNG BÌNH</w:t>
      </w:r>
    </w:p>
    <w:p w:rsidR="006521E2" w:rsidRDefault="006521E2" w:rsidP="006521E2">
      <w:pPr>
        <w:ind w:firstLine="540"/>
        <w:jc w:val="both"/>
        <w:rPr>
          <w:rFonts w:ascii="Times New Roman" w:hAnsi="Times New Roman"/>
          <w:szCs w:val="27"/>
          <w:lang w:val="es-ES"/>
        </w:rPr>
      </w:pPr>
    </w:p>
    <w:p w:rsidR="006521E2" w:rsidRPr="0058422A" w:rsidRDefault="006521E2" w:rsidP="006521E2">
      <w:pPr>
        <w:spacing w:before="60" w:after="60"/>
        <w:ind w:firstLine="547"/>
        <w:jc w:val="both"/>
        <w:rPr>
          <w:rFonts w:ascii="Times New Roman" w:hAnsi="Times New Roman"/>
          <w:sz w:val="28"/>
          <w:szCs w:val="28"/>
          <w:lang w:val="es-ES"/>
        </w:rPr>
      </w:pPr>
      <w:r w:rsidRPr="0058422A">
        <w:rPr>
          <w:rFonts w:ascii="Times New Roman" w:hAnsi="Times New Roman"/>
          <w:sz w:val="28"/>
          <w:szCs w:val="28"/>
          <w:lang w:val="es-ES"/>
        </w:rPr>
        <w:t>Căn cứ Quyết định số 05/2016/QĐ-UBND ngày 26/4/2016 của UBND tỉnh ban hành quy định chức năng, nhiệm vụ, quyền hạn và cơ cấu tổ chức của Sở Xây dựng;</w:t>
      </w:r>
    </w:p>
    <w:p w:rsidR="006521E2" w:rsidRPr="0058422A" w:rsidRDefault="006521E2" w:rsidP="006521E2">
      <w:pPr>
        <w:spacing w:before="60" w:after="60"/>
        <w:ind w:firstLine="547"/>
        <w:jc w:val="both"/>
        <w:rPr>
          <w:rFonts w:ascii="Times New Roman" w:hAnsi="Times New Roman"/>
          <w:sz w:val="28"/>
          <w:szCs w:val="28"/>
          <w:lang w:val="es-ES"/>
        </w:rPr>
      </w:pPr>
      <w:r w:rsidRPr="0058422A">
        <w:rPr>
          <w:rFonts w:ascii="Times New Roman" w:hAnsi="Times New Roman"/>
          <w:sz w:val="28"/>
          <w:szCs w:val="28"/>
          <w:lang w:val="es-ES"/>
        </w:rPr>
        <w:t>Căn cứ Luật Xây dựng số 50/2014/QH13 ban hành ngày 18/6/2014;</w:t>
      </w:r>
    </w:p>
    <w:p w:rsidR="006521E2" w:rsidRDefault="006521E2" w:rsidP="006521E2">
      <w:pPr>
        <w:spacing w:before="60" w:after="60"/>
        <w:ind w:firstLine="547"/>
        <w:jc w:val="both"/>
        <w:rPr>
          <w:rFonts w:ascii="Times New Roman" w:hAnsi="Times New Roman"/>
          <w:sz w:val="28"/>
          <w:szCs w:val="28"/>
          <w:lang w:val="es-ES"/>
        </w:rPr>
      </w:pPr>
      <w:r w:rsidRPr="0058422A">
        <w:rPr>
          <w:rFonts w:ascii="Times New Roman" w:hAnsi="Times New Roman"/>
          <w:sz w:val="28"/>
          <w:szCs w:val="28"/>
          <w:lang w:val="es-ES"/>
        </w:rPr>
        <w:t>Căn cứ Nghị định số 32/2015/NĐ-CP ngày 25/3/2015 của Chính phủ về Quản lý chi phí đầu tư xây dựng;</w:t>
      </w:r>
    </w:p>
    <w:p w:rsidR="006521E2" w:rsidRPr="0058422A" w:rsidRDefault="006521E2" w:rsidP="006521E2">
      <w:pPr>
        <w:spacing w:before="60" w:after="60"/>
        <w:ind w:firstLine="547"/>
        <w:jc w:val="both"/>
        <w:rPr>
          <w:rFonts w:ascii="Times New Roman" w:hAnsi="Times New Roman"/>
          <w:sz w:val="28"/>
          <w:szCs w:val="28"/>
          <w:lang w:val="es-ES"/>
        </w:rPr>
      </w:pPr>
      <w:r w:rsidRPr="0058422A">
        <w:rPr>
          <w:rFonts w:ascii="Times New Roman" w:hAnsi="Times New Roman"/>
          <w:sz w:val="28"/>
          <w:szCs w:val="28"/>
          <w:lang w:val="es-ES"/>
        </w:rPr>
        <w:t xml:space="preserve">Căn cứ Thông tư </w:t>
      </w:r>
      <w:r w:rsidRPr="0058422A">
        <w:rPr>
          <w:rFonts w:ascii="Times New Roman" w:hAnsi="Times New Roman"/>
          <w:color w:val="000000"/>
          <w:sz w:val="28"/>
          <w:szCs w:val="28"/>
          <w:lang w:val="es-ES"/>
        </w:rPr>
        <w:t>số 05/2016/TT-BXD ngày 10/3/2016 của Bộ Xây dựng hướng dẫn xác định đơn giá nhân công trong quản lý chi phí đầu tư xây dựng;</w:t>
      </w:r>
    </w:p>
    <w:p w:rsidR="006521E2" w:rsidRPr="0058422A" w:rsidRDefault="006521E2" w:rsidP="006521E2">
      <w:pPr>
        <w:spacing w:before="60" w:after="60"/>
        <w:ind w:firstLine="547"/>
        <w:jc w:val="both"/>
        <w:rPr>
          <w:rFonts w:ascii="Times New Roman" w:hAnsi="Times New Roman"/>
          <w:sz w:val="28"/>
          <w:szCs w:val="28"/>
          <w:lang w:val="es-ES"/>
        </w:rPr>
      </w:pPr>
      <w:r w:rsidRPr="0058422A">
        <w:rPr>
          <w:rFonts w:ascii="Times New Roman" w:hAnsi="Times New Roman"/>
          <w:sz w:val="28"/>
          <w:szCs w:val="28"/>
          <w:lang w:val="es-ES"/>
        </w:rPr>
        <w:t>Căn cứ Thông tư số 06/2016/TT-BXD ngày 10/3/2016 của Bộ Xây dựng hướng dẫn lập và quản lý chi phí đầu tư xây dựng công trình;</w:t>
      </w:r>
    </w:p>
    <w:p w:rsidR="006521E2" w:rsidRPr="0058422A" w:rsidRDefault="006521E2" w:rsidP="006521E2">
      <w:pPr>
        <w:spacing w:before="60" w:after="60"/>
        <w:ind w:firstLine="547"/>
        <w:jc w:val="both"/>
        <w:rPr>
          <w:rFonts w:ascii="Times New Roman" w:hAnsi="Times New Roman"/>
          <w:sz w:val="28"/>
          <w:szCs w:val="28"/>
          <w:lang w:val="es-ES"/>
        </w:rPr>
      </w:pPr>
      <w:r w:rsidRPr="0058422A">
        <w:rPr>
          <w:rFonts w:ascii="Times New Roman" w:hAnsi="Times New Roman"/>
          <w:sz w:val="28"/>
          <w:szCs w:val="28"/>
          <w:lang w:val="es-ES"/>
        </w:rPr>
        <w:t xml:space="preserve">Theo đề nghị của Trưởng phòng Kinh tế </w:t>
      </w:r>
      <w:r>
        <w:rPr>
          <w:rFonts w:ascii="Times New Roman" w:hAnsi="Times New Roman"/>
          <w:sz w:val="28"/>
          <w:szCs w:val="28"/>
          <w:lang w:val="es-ES"/>
        </w:rPr>
        <w:t xml:space="preserve">và Vật liệu </w:t>
      </w:r>
      <w:r w:rsidRPr="0058422A">
        <w:rPr>
          <w:rFonts w:ascii="Times New Roman" w:hAnsi="Times New Roman"/>
          <w:sz w:val="28"/>
          <w:szCs w:val="28"/>
          <w:lang w:val="es-ES"/>
        </w:rPr>
        <w:t>xây dựng</w:t>
      </w:r>
      <w:r>
        <w:rPr>
          <w:rFonts w:ascii="Times New Roman" w:hAnsi="Times New Roman"/>
          <w:sz w:val="28"/>
          <w:szCs w:val="28"/>
          <w:lang w:val="es-ES"/>
        </w:rPr>
        <w:t>,</w:t>
      </w:r>
    </w:p>
    <w:p w:rsidR="006521E2" w:rsidRPr="0058422A" w:rsidRDefault="006521E2" w:rsidP="006521E2">
      <w:pPr>
        <w:spacing w:before="120" w:after="120"/>
        <w:jc w:val="center"/>
        <w:rPr>
          <w:rFonts w:ascii="Times New Roman" w:hAnsi="Times New Roman"/>
          <w:b/>
          <w:sz w:val="28"/>
          <w:szCs w:val="28"/>
          <w:lang w:val="es-ES"/>
        </w:rPr>
      </w:pPr>
      <w:r w:rsidRPr="0058422A">
        <w:rPr>
          <w:rFonts w:ascii="Times New Roman" w:hAnsi="Times New Roman"/>
          <w:b/>
          <w:sz w:val="28"/>
          <w:szCs w:val="28"/>
          <w:lang w:val="es-ES"/>
        </w:rPr>
        <w:t>QUYẾT ĐỊNH:</w:t>
      </w:r>
    </w:p>
    <w:p w:rsidR="006521E2" w:rsidRPr="0058422A" w:rsidRDefault="006521E2" w:rsidP="006521E2">
      <w:pPr>
        <w:spacing w:before="60" w:after="60"/>
        <w:ind w:firstLine="547"/>
        <w:jc w:val="both"/>
        <w:rPr>
          <w:rFonts w:ascii="Times New Roman" w:hAnsi="Times New Roman"/>
          <w:sz w:val="28"/>
          <w:szCs w:val="28"/>
          <w:lang w:val="es-ES"/>
        </w:rPr>
      </w:pPr>
      <w:r w:rsidRPr="0058422A">
        <w:rPr>
          <w:rFonts w:ascii="Times New Roman" w:hAnsi="Times New Roman"/>
          <w:b/>
          <w:sz w:val="28"/>
          <w:szCs w:val="28"/>
          <w:lang w:val="es-ES"/>
        </w:rPr>
        <w:t xml:space="preserve">Điều 1. </w:t>
      </w:r>
      <w:r w:rsidRPr="0058422A">
        <w:rPr>
          <w:rFonts w:ascii="Times New Roman" w:hAnsi="Times New Roman"/>
          <w:sz w:val="28"/>
          <w:szCs w:val="28"/>
          <w:lang w:val="es-ES"/>
        </w:rPr>
        <w:t xml:space="preserve">Công bố kèm theo Quyết định này Chỉ số giá xây dựng </w:t>
      </w:r>
      <w:r>
        <w:rPr>
          <w:rFonts w:ascii="Times New Roman" w:hAnsi="Times New Roman"/>
          <w:sz w:val="28"/>
          <w:szCs w:val="28"/>
          <w:lang w:val="es-ES"/>
        </w:rPr>
        <w:t>t</w:t>
      </w:r>
      <w:r w:rsidRPr="0058422A">
        <w:rPr>
          <w:rFonts w:ascii="Times New Roman" w:hAnsi="Times New Roman"/>
          <w:sz w:val="28"/>
          <w:szCs w:val="28"/>
          <w:lang w:val="es-ES"/>
        </w:rPr>
        <w:t xml:space="preserve">háng </w:t>
      </w:r>
      <w:r>
        <w:rPr>
          <w:rFonts w:ascii="Times New Roman" w:hAnsi="Times New Roman"/>
          <w:sz w:val="28"/>
          <w:szCs w:val="28"/>
          <w:lang w:val="es-ES"/>
        </w:rPr>
        <w:t>5, 6</w:t>
      </w:r>
      <w:r w:rsidRPr="0058422A">
        <w:rPr>
          <w:rFonts w:ascii="Times New Roman" w:hAnsi="Times New Roman"/>
          <w:sz w:val="28"/>
          <w:szCs w:val="28"/>
          <w:lang w:val="es-ES"/>
        </w:rPr>
        <w:t xml:space="preserve"> năm 201</w:t>
      </w:r>
      <w:r>
        <w:rPr>
          <w:rFonts w:ascii="Times New Roman" w:hAnsi="Times New Roman"/>
          <w:sz w:val="28"/>
          <w:szCs w:val="28"/>
          <w:lang w:val="es-ES"/>
        </w:rPr>
        <w:t>9</w:t>
      </w:r>
      <w:r w:rsidRPr="0058422A">
        <w:rPr>
          <w:rFonts w:ascii="Times New Roman" w:hAnsi="Times New Roman"/>
          <w:sz w:val="28"/>
          <w:szCs w:val="28"/>
          <w:lang w:val="es-ES"/>
        </w:rPr>
        <w:t xml:space="preserve"> để các cơ quan, tổ chức, cá nhân tham khảo, sử dụng vào việc xác định, điều chỉnh tổng mức đầu tư, dự toán xây dựng công trình, giá hợp đồng xây dựng và quản lý chi phí đầu tư xây dựng công trình.</w:t>
      </w:r>
    </w:p>
    <w:p w:rsidR="006521E2" w:rsidRPr="0058422A" w:rsidRDefault="006521E2" w:rsidP="006521E2">
      <w:pPr>
        <w:spacing w:before="60" w:after="60"/>
        <w:ind w:firstLine="547"/>
        <w:jc w:val="both"/>
        <w:rPr>
          <w:rFonts w:ascii="Times New Roman" w:hAnsi="Times New Roman"/>
          <w:sz w:val="28"/>
          <w:szCs w:val="28"/>
          <w:lang w:val="es-ES"/>
        </w:rPr>
      </w:pPr>
      <w:r w:rsidRPr="0058422A">
        <w:rPr>
          <w:rFonts w:ascii="Times New Roman" w:hAnsi="Times New Roman"/>
          <w:b/>
          <w:sz w:val="28"/>
          <w:szCs w:val="28"/>
          <w:lang w:val="es-ES"/>
        </w:rPr>
        <w:t>Điều 2.</w:t>
      </w:r>
      <w:r w:rsidRPr="0058422A">
        <w:rPr>
          <w:rFonts w:ascii="Times New Roman" w:hAnsi="Times New Roman"/>
          <w:sz w:val="28"/>
          <w:szCs w:val="28"/>
          <w:lang w:val="es-ES"/>
        </w:rPr>
        <w:t xml:space="preserve"> Quyết định này có hiệu lực từ ngày ký.</w:t>
      </w:r>
    </w:p>
    <w:p w:rsidR="006521E2" w:rsidRPr="00117FF6" w:rsidRDefault="006521E2" w:rsidP="006521E2">
      <w:pPr>
        <w:ind w:firstLine="720"/>
        <w:rPr>
          <w:rFonts w:ascii="Times New Roman" w:hAnsi="Times New Roman"/>
          <w:sz w:val="12"/>
          <w:szCs w:val="28"/>
          <w:lang w:val="es-ES"/>
        </w:rPr>
      </w:pPr>
    </w:p>
    <w:tbl>
      <w:tblPr>
        <w:tblW w:w="9108" w:type="dxa"/>
        <w:tblLook w:val="01E0" w:firstRow="1" w:lastRow="1" w:firstColumn="1" w:lastColumn="1" w:noHBand="0" w:noVBand="0"/>
      </w:tblPr>
      <w:tblGrid>
        <w:gridCol w:w="3708"/>
        <w:gridCol w:w="5400"/>
      </w:tblGrid>
      <w:tr w:rsidR="006521E2" w:rsidRPr="00873E00" w:rsidTr="0001418B">
        <w:tc>
          <w:tcPr>
            <w:tcW w:w="3708" w:type="dxa"/>
            <w:shd w:val="clear" w:color="auto" w:fill="auto"/>
          </w:tcPr>
          <w:p w:rsidR="006521E2" w:rsidRPr="00873E00" w:rsidRDefault="006521E2" w:rsidP="0001418B">
            <w:pPr>
              <w:rPr>
                <w:rFonts w:ascii="Times New Roman" w:hAnsi="Times New Roman"/>
                <w:b/>
                <w:i/>
                <w:sz w:val="28"/>
                <w:szCs w:val="28"/>
                <w:lang w:val="fr-FR"/>
              </w:rPr>
            </w:pPr>
            <w:r w:rsidRPr="00873E00">
              <w:rPr>
                <w:rFonts w:ascii="Times New Roman" w:hAnsi="Times New Roman"/>
                <w:b/>
                <w:i/>
                <w:sz w:val="24"/>
                <w:szCs w:val="28"/>
                <w:lang w:val="fr-FR"/>
              </w:rPr>
              <w:t>Nơi nhận :</w:t>
            </w:r>
          </w:p>
        </w:tc>
        <w:tc>
          <w:tcPr>
            <w:tcW w:w="5400" w:type="dxa"/>
            <w:shd w:val="clear" w:color="auto" w:fill="auto"/>
          </w:tcPr>
          <w:p w:rsidR="006521E2" w:rsidRPr="00873E00" w:rsidRDefault="006521E2" w:rsidP="0001418B">
            <w:pPr>
              <w:jc w:val="center"/>
              <w:rPr>
                <w:rFonts w:ascii="Times New Roman" w:hAnsi="Times New Roman"/>
                <w:b/>
                <w:sz w:val="28"/>
                <w:szCs w:val="28"/>
                <w:lang w:val="fr-FR"/>
              </w:rPr>
            </w:pPr>
            <w:r>
              <w:rPr>
                <w:rFonts w:ascii="Times New Roman" w:hAnsi="Times New Roman"/>
                <w:b/>
                <w:sz w:val="28"/>
                <w:szCs w:val="28"/>
                <w:lang w:val="fr-FR"/>
              </w:rPr>
              <w:t xml:space="preserve">KT. </w:t>
            </w:r>
            <w:r w:rsidRPr="00873E00">
              <w:rPr>
                <w:rFonts w:ascii="Times New Roman" w:hAnsi="Times New Roman"/>
                <w:b/>
                <w:sz w:val="28"/>
                <w:szCs w:val="28"/>
                <w:lang w:val="fr-FR"/>
              </w:rPr>
              <w:t>GIÁM ĐỐC</w:t>
            </w:r>
          </w:p>
        </w:tc>
      </w:tr>
      <w:tr w:rsidR="006521E2" w:rsidRPr="00BC5E22" w:rsidTr="0001418B">
        <w:tc>
          <w:tcPr>
            <w:tcW w:w="3708" w:type="dxa"/>
            <w:shd w:val="clear" w:color="auto" w:fill="auto"/>
          </w:tcPr>
          <w:tbl>
            <w:tblPr>
              <w:tblW w:w="0" w:type="auto"/>
              <w:tblLook w:val="04A0" w:firstRow="1" w:lastRow="0" w:firstColumn="1" w:lastColumn="0" w:noHBand="0" w:noVBand="1"/>
            </w:tblPr>
            <w:tblGrid>
              <w:gridCol w:w="1738"/>
              <w:gridCol w:w="1739"/>
            </w:tblGrid>
            <w:tr w:rsidR="006521E2" w:rsidRPr="00E5168D" w:rsidTr="0001418B">
              <w:tc>
                <w:tcPr>
                  <w:tcW w:w="1738" w:type="dxa"/>
                  <w:tcBorders>
                    <w:right w:val="single" w:sz="4" w:space="0" w:color="auto"/>
                  </w:tcBorders>
                  <w:shd w:val="clear" w:color="auto" w:fill="auto"/>
                </w:tcPr>
                <w:p w:rsidR="006521E2" w:rsidRPr="00E5168D" w:rsidRDefault="006521E2" w:rsidP="0001418B">
                  <w:pPr>
                    <w:spacing w:line="228" w:lineRule="auto"/>
                    <w:rPr>
                      <w:rFonts w:ascii="Times New Roman" w:hAnsi="Times New Roman"/>
                      <w:sz w:val="22"/>
                      <w:szCs w:val="22"/>
                      <w:lang w:val="fr-FR"/>
                    </w:rPr>
                  </w:pPr>
                  <w:r w:rsidRPr="00E5168D">
                    <w:rPr>
                      <w:rFonts w:ascii="Times New Roman" w:hAnsi="Times New Roman"/>
                      <w:sz w:val="22"/>
                      <w:szCs w:val="22"/>
                      <w:lang w:val="fr-FR"/>
                    </w:rPr>
                    <w:t>- Bộ Xây dựng</w:t>
                  </w:r>
                </w:p>
              </w:tc>
              <w:tc>
                <w:tcPr>
                  <w:tcW w:w="1739" w:type="dxa"/>
                  <w:vMerge w:val="restart"/>
                  <w:tcBorders>
                    <w:left w:val="single" w:sz="4" w:space="0" w:color="auto"/>
                  </w:tcBorders>
                  <w:shd w:val="clear" w:color="auto" w:fill="auto"/>
                  <w:vAlign w:val="center"/>
                </w:tcPr>
                <w:p w:rsidR="006521E2" w:rsidRPr="00E5168D" w:rsidRDefault="006521E2" w:rsidP="0001418B">
                  <w:pPr>
                    <w:spacing w:line="228" w:lineRule="auto"/>
                    <w:rPr>
                      <w:rFonts w:ascii="Times New Roman" w:hAnsi="Times New Roman"/>
                      <w:sz w:val="22"/>
                      <w:szCs w:val="22"/>
                      <w:lang w:val="fr-FR"/>
                    </w:rPr>
                  </w:pPr>
                  <w:r w:rsidRPr="00E5168D">
                    <w:rPr>
                      <w:rFonts w:ascii="Times New Roman" w:hAnsi="Times New Roman"/>
                      <w:sz w:val="22"/>
                      <w:szCs w:val="22"/>
                      <w:lang w:val="fr-FR"/>
                    </w:rPr>
                    <w:t>để báo cáo;</w:t>
                  </w:r>
                </w:p>
              </w:tc>
            </w:tr>
            <w:tr w:rsidR="006521E2" w:rsidRPr="00E5168D" w:rsidTr="0001418B">
              <w:tc>
                <w:tcPr>
                  <w:tcW w:w="1738" w:type="dxa"/>
                  <w:tcBorders>
                    <w:right w:val="single" w:sz="4" w:space="0" w:color="auto"/>
                  </w:tcBorders>
                  <w:shd w:val="clear" w:color="auto" w:fill="auto"/>
                </w:tcPr>
                <w:p w:rsidR="006521E2" w:rsidRPr="00E5168D" w:rsidRDefault="006521E2" w:rsidP="0001418B">
                  <w:pPr>
                    <w:spacing w:line="228" w:lineRule="auto"/>
                    <w:rPr>
                      <w:rFonts w:ascii="Times New Roman" w:hAnsi="Times New Roman"/>
                      <w:sz w:val="22"/>
                      <w:szCs w:val="22"/>
                      <w:lang w:val="fr-FR"/>
                    </w:rPr>
                  </w:pPr>
                  <w:r w:rsidRPr="00E5168D">
                    <w:rPr>
                      <w:rFonts w:ascii="Times New Roman" w:hAnsi="Times New Roman"/>
                      <w:sz w:val="22"/>
                      <w:szCs w:val="22"/>
                      <w:lang w:val="fr-FR"/>
                    </w:rPr>
                    <w:t>- UBND tỉnh</w:t>
                  </w:r>
                </w:p>
              </w:tc>
              <w:tc>
                <w:tcPr>
                  <w:tcW w:w="1739" w:type="dxa"/>
                  <w:vMerge/>
                  <w:tcBorders>
                    <w:left w:val="single" w:sz="4" w:space="0" w:color="auto"/>
                  </w:tcBorders>
                  <w:shd w:val="clear" w:color="auto" w:fill="auto"/>
                </w:tcPr>
                <w:p w:rsidR="006521E2" w:rsidRPr="00E5168D" w:rsidRDefault="006521E2" w:rsidP="0001418B">
                  <w:pPr>
                    <w:spacing w:line="228" w:lineRule="auto"/>
                    <w:rPr>
                      <w:rFonts w:ascii="Times New Roman" w:hAnsi="Times New Roman"/>
                      <w:sz w:val="22"/>
                      <w:szCs w:val="22"/>
                      <w:lang w:val="fr-FR"/>
                    </w:rPr>
                  </w:pPr>
                </w:p>
              </w:tc>
            </w:tr>
          </w:tbl>
          <w:p w:rsidR="006521E2" w:rsidRPr="00873E00" w:rsidRDefault="006521E2" w:rsidP="0001418B">
            <w:pPr>
              <w:spacing w:line="228" w:lineRule="auto"/>
              <w:rPr>
                <w:rFonts w:ascii="Times New Roman" w:hAnsi="Times New Roman"/>
                <w:sz w:val="22"/>
                <w:szCs w:val="22"/>
                <w:lang w:val="fr-FR"/>
              </w:rPr>
            </w:pPr>
            <w:r>
              <w:rPr>
                <w:rFonts w:ascii="Times New Roman" w:hAnsi="Times New Roman"/>
                <w:sz w:val="22"/>
                <w:szCs w:val="22"/>
                <w:lang w:val="fr-FR"/>
              </w:rPr>
              <w:t xml:space="preserve">  </w:t>
            </w:r>
            <w:r w:rsidRPr="00873E00">
              <w:rPr>
                <w:rFonts w:ascii="Times New Roman" w:hAnsi="Times New Roman"/>
                <w:sz w:val="22"/>
                <w:szCs w:val="22"/>
                <w:lang w:val="fr-FR"/>
              </w:rPr>
              <w:t>- Các Sở: KH&amp;ĐT, Tài chính,</w:t>
            </w:r>
          </w:p>
          <w:p w:rsidR="006521E2" w:rsidRDefault="006521E2" w:rsidP="0001418B">
            <w:pPr>
              <w:spacing w:line="228" w:lineRule="auto"/>
              <w:rPr>
                <w:rFonts w:ascii="Times New Roman" w:hAnsi="Times New Roman"/>
                <w:sz w:val="22"/>
                <w:szCs w:val="22"/>
                <w:lang w:val="fr-FR"/>
              </w:rPr>
            </w:pPr>
            <w:r w:rsidRPr="00873E00">
              <w:rPr>
                <w:rFonts w:ascii="Times New Roman" w:hAnsi="Times New Roman"/>
                <w:sz w:val="22"/>
                <w:szCs w:val="22"/>
                <w:lang w:val="fr-FR"/>
              </w:rPr>
              <w:t xml:space="preserve">GTVT, Công </w:t>
            </w:r>
            <w:r>
              <w:rPr>
                <w:rFonts w:ascii="Times New Roman" w:hAnsi="Times New Roman"/>
                <w:sz w:val="22"/>
                <w:szCs w:val="22"/>
                <w:lang w:val="fr-FR"/>
              </w:rPr>
              <w:t>T</w:t>
            </w:r>
            <w:r w:rsidRPr="00873E00">
              <w:rPr>
                <w:rFonts w:ascii="Times New Roman" w:hAnsi="Times New Roman"/>
                <w:sz w:val="22"/>
                <w:szCs w:val="22"/>
                <w:lang w:val="fr-FR"/>
              </w:rPr>
              <w:t>hương, NN&amp;PTNT;</w:t>
            </w:r>
          </w:p>
          <w:p w:rsidR="006521E2" w:rsidRPr="00873E00" w:rsidRDefault="006521E2" w:rsidP="0001418B">
            <w:pPr>
              <w:spacing w:line="228" w:lineRule="auto"/>
              <w:rPr>
                <w:rFonts w:ascii="Times New Roman" w:hAnsi="Times New Roman"/>
                <w:sz w:val="22"/>
                <w:szCs w:val="22"/>
                <w:lang w:val="fr-FR"/>
              </w:rPr>
            </w:pPr>
            <w:r>
              <w:rPr>
                <w:rFonts w:ascii="Times New Roman" w:hAnsi="Times New Roman"/>
                <w:sz w:val="22"/>
                <w:szCs w:val="22"/>
                <w:lang w:val="fr-FR"/>
              </w:rPr>
              <w:t xml:space="preserve">  </w:t>
            </w:r>
            <w:r w:rsidRPr="00873E00">
              <w:rPr>
                <w:rFonts w:ascii="Times New Roman" w:hAnsi="Times New Roman"/>
                <w:sz w:val="22"/>
                <w:szCs w:val="22"/>
                <w:lang w:val="fr-FR"/>
              </w:rPr>
              <w:t>- UBND các huyện, thành phố</w:t>
            </w:r>
            <w:r>
              <w:rPr>
                <w:rFonts w:ascii="Times New Roman" w:hAnsi="Times New Roman"/>
                <w:sz w:val="22"/>
                <w:szCs w:val="22"/>
                <w:lang w:val="fr-FR"/>
              </w:rPr>
              <w:t xml:space="preserve">, </w:t>
            </w:r>
            <w:r w:rsidRPr="00873E00">
              <w:rPr>
                <w:rFonts w:ascii="Times New Roman" w:hAnsi="Times New Roman"/>
                <w:sz w:val="22"/>
                <w:szCs w:val="22"/>
                <w:lang w:val="fr-FR"/>
              </w:rPr>
              <w:t>thị xã;</w:t>
            </w:r>
          </w:p>
          <w:p w:rsidR="006521E2" w:rsidRPr="00873E00" w:rsidRDefault="006521E2" w:rsidP="0001418B">
            <w:pPr>
              <w:spacing w:line="228" w:lineRule="auto"/>
              <w:rPr>
                <w:rFonts w:ascii="Times New Roman" w:hAnsi="Times New Roman"/>
                <w:sz w:val="22"/>
                <w:szCs w:val="22"/>
                <w:lang w:val="fr-FR"/>
              </w:rPr>
            </w:pPr>
            <w:r>
              <w:rPr>
                <w:rFonts w:ascii="Times New Roman" w:hAnsi="Times New Roman"/>
                <w:sz w:val="22"/>
                <w:szCs w:val="22"/>
                <w:lang w:val="fr-FR"/>
              </w:rPr>
              <w:t xml:space="preserve">  - Giám đốc, Các P. Giám đốc Sở XD;</w:t>
            </w:r>
          </w:p>
          <w:p w:rsidR="006521E2" w:rsidRPr="00873E00" w:rsidRDefault="006521E2" w:rsidP="0001418B">
            <w:pPr>
              <w:spacing w:line="228" w:lineRule="auto"/>
              <w:rPr>
                <w:rFonts w:ascii="Times New Roman" w:hAnsi="Times New Roman"/>
                <w:sz w:val="22"/>
                <w:szCs w:val="22"/>
                <w:lang w:val="fr-FR"/>
              </w:rPr>
            </w:pPr>
            <w:r>
              <w:rPr>
                <w:rFonts w:ascii="Times New Roman" w:hAnsi="Times New Roman"/>
                <w:sz w:val="22"/>
                <w:szCs w:val="22"/>
                <w:lang w:val="fr-FR"/>
              </w:rPr>
              <w:t xml:space="preserve">  </w:t>
            </w:r>
            <w:r w:rsidRPr="00873E00">
              <w:rPr>
                <w:rFonts w:ascii="Times New Roman" w:hAnsi="Times New Roman"/>
                <w:sz w:val="22"/>
                <w:szCs w:val="22"/>
                <w:lang w:val="fr-FR"/>
              </w:rPr>
              <w:t>- Website Sở Xây dựng;</w:t>
            </w:r>
          </w:p>
          <w:p w:rsidR="006521E2" w:rsidRPr="00873E00" w:rsidRDefault="006521E2" w:rsidP="0001418B">
            <w:pPr>
              <w:spacing w:line="228" w:lineRule="auto"/>
              <w:rPr>
                <w:rFonts w:ascii="Times New Roman" w:hAnsi="Times New Roman"/>
                <w:sz w:val="28"/>
                <w:szCs w:val="28"/>
                <w:lang w:val="fr-FR"/>
              </w:rPr>
            </w:pPr>
            <w:r>
              <w:rPr>
                <w:rFonts w:ascii="Times New Roman" w:hAnsi="Times New Roman"/>
                <w:sz w:val="22"/>
                <w:szCs w:val="22"/>
                <w:lang w:val="fr-FR"/>
              </w:rPr>
              <w:t xml:space="preserve">  </w:t>
            </w:r>
            <w:r w:rsidRPr="00873E00">
              <w:rPr>
                <w:rFonts w:ascii="Times New Roman" w:hAnsi="Times New Roman"/>
                <w:sz w:val="22"/>
                <w:szCs w:val="22"/>
                <w:lang w:val="fr-FR"/>
              </w:rPr>
              <w:t>- Lưu: VT, P.KTXD.</w:t>
            </w:r>
          </w:p>
        </w:tc>
        <w:tc>
          <w:tcPr>
            <w:tcW w:w="5400" w:type="dxa"/>
            <w:shd w:val="clear" w:color="auto" w:fill="auto"/>
          </w:tcPr>
          <w:p w:rsidR="006521E2" w:rsidRDefault="006521E2" w:rsidP="0001418B">
            <w:pPr>
              <w:jc w:val="center"/>
              <w:rPr>
                <w:rFonts w:ascii="Times New Roman" w:hAnsi="Times New Roman"/>
                <w:b/>
                <w:sz w:val="28"/>
                <w:szCs w:val="28"/>
                <w:lang w:val="fr-FR"/>
              </w:rPr>
            </w:pPr>
            <w:r>
              <w:rPr>
                <w:rFonts w:ascii="Times New Roman" w:hAnsi="Times New Roman"/>
                <w:b/>
                <w:sz w:val="28"/>
                <w:szCs w:val="28"/>
                <w:lang w:val="fr-FR"/>
              </w:rPr>
              <w:t>PHÓ GIÁM ĐỐC</w:t>
            </w:r>
          </w:p>
          <w:p w:rsidR="006521E2" w:rsidRPr="00873E00" w:rsidRDefault="006521E2" w:rsidP="0001418B">
            <w:pPr>
              <w:jc w:val="center"/>
              <w:rPr>
                <w:rFonts w:ascii="Times New Roman" w:hAnsi="Times New Roman"/>
                <w:b/>
                <w:sz w:val="28"/>
                <w:szCs w:val="28"/>
                <w:lang w:val="fr-FR"/>
              </w:rPr>
            </w:pPr>
          </w:p>
          <w:p w:rsidR="006521E2" w:rsidRPr="00744F13" w:rsidRDefault="006521E2" w:rsidP="0001418B">
            <w:pPr>
              <w:jc w:val="center"/>
              <w:rPr>
                <w:rFonts w:ascii="Times New Roman" w:hAnsi="Times New Roman"/>
                <w:b/>
                <w:sz w:val="28"/>
                <w:szCs w:val="28"/>
                <w:lang w:val="fr-FR"/>
              </w:rPr>
            </w:pPr>
            <w:r w:rsidRPr="00744F13">
              <w:rPr>
                <w:rFonts w:ascii="Times New Roman" w:hAnsi="Times New Roman"/>
                <w:b/>
                <w:sz w:val="28"/>
                <w:szCs w:val="28"/>
                <w:lang w:val="fr-FR"/>
              </w:rPr>
              <w:t>(Đã ký)</w:t>
            </w:r>
          </w:p>
          <w:p w:rsidR="006521E2" w:rsidRDefault="006521E2" w:rsidP="0001418B">
            <w:pPr>
              <w:jc w:val="center"/>
              <w:rPr>
                <w:rFonts w:ascii="Times New Roman" w:hAnsi="Times New Roman"/>
                <w:b/>
                <w:sz w:val="54"/>
                <w:szCs w:val="28"/>
                <w:lang w:val="fr-FR"/>
              </w:rPr>
            </w:pPr>
          </w:p>
          <w:p w:rsidR="006521E2" w:rsidRPr="00BC5E22" w:rsidRDefault="006521E2" w:rsidP="0001418B">
            <w:pPr>
              <w:spacing w:before="120"/>
              <w:rPr>
                <w:rFonts w:ascii="Times New Roman" w:hAnsi="Times New Roman"/>
                <w:b/>
                <w:sz w:val="28"/>
                <w:szCs w:val="28"/>
                <w:lang w:val="fr-FR"/>
              </w:rPr>
            </w:pPr>
            <w:r>
              <w:rPr>
                <w:rFonts w:ascii="Times New Roman" w:hAnsi="Times New Roman"/>
                <w:b/>
                <w:sz w:val="28"/>
                <w:szCs w:val="28"/>
                <w:lang w:val="fr-FR"/>
              </w:rPr>
              <w:t xml:space="preserve">                     Hoàng Minh Thái</w:t>
            </w:r>
          </w:p>
        </w:tc>
      </w:tr>
    </w:tbl>
    <w:p w:rsidR="006521E2" w:rsidRPr="00117FF6" w:rsidRDefault="006521E2" w:rsidP="006521E2">
      <w:pPr>
        <w:rPr>
          <w:lang w:val="fr-FR"/>
        </w:rPr>
      </w:pPr>
    </w:p>
    <w:p w:rsidR="00F85259" w:rsidRDefault="00F85259"/>
    <w:p w:rsidR="006521E2" w:rsidRDefault="006521E2"/>
    <w:p w:rsidR="006521E2" w:rsidRDefault="006521E2"/>
    <w:p w:rsidR="006521E2" w:rsidRDefault="006521E2"/>
    <w:p w:rsidR="006521E2" w:rsidRDefault="006521E2"/>
    <w:p w:rsidR="006521E2" w:rsidRDefault="006521E2"/>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VnTimeH" w:hAnsi=".VnTimeH"/>
          <w:color w:val="000000"/>
          <w:sz w:val="36"/>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Times New Roman" w:hAnsi="Times New Roman"/>
          <w:b/>
          <w:color w:val="000000"/>
          <w:sz w:val="32"/>
          <w:szCs w:val="32"/>
        </w:rPr>
      </w:pPr>
      <w:r>
        <w:rPr>
          <w:b/>
          <w:color w:val="000000"/>
          <w:sz w:val="32"/>
          <w:szCs w:val="32"/>
        </w:rPr>
        <w:t>S</w:t>
      </w:r>
      <w:r>
        <w:rPr>
          <w:rFonts w:ascii="Calibri" w:hAnsi="Calibri" w:cs="Calibri"/>
          <w:b/>
          <w:color w:val="000000"/>
          <w:sz w:val="32"/>
          <w:szCs w:val="32"/>
        </w:rPr>
        <w:t>Ở</w:t>
      </w:r>
      <w:r>
        <w:rPr>
          <w:b/>
          <w:color w:val="000000"/>
          <w:sz w:val="32"/>
          <w:szCs w:val="32"/>
        </w:rPr>
        <w:t xml:space="preserve"> X</w:t>
      </w:r>
      <w:r>
        <w:rPr>
          <w:rFonts w:ascii="Calibri" w:hAnsi="Calibri" w:cs="Calibri"/>
          <w:b/>
          <w:color w:val="000000"/>
          <w:sz w:val="32"/>
          <w:szCs w:val="32"/>
        </w:rPr>
        <w:t>Â</w:t>
      </w:r>
      <w:r>
        <w:rPr>
          <w:b/>
          <w:color w:val="000000"/>
          <w:sz w:val="32"/>
          <w:szCs w:val="32"/>
        </w:rPr>
        <w:t>Y D</w:t>
      </w:r>
      <w:r>
        <w:rPr>
          <w:rFonts w:ascii="Calibri" w:hAnsi="Calibri" w:cs="Calibri"/>
          <w:b/>
          <w:color w:val="000000"/>
          <w:sz w:val="32"/>
          <w:szCs w:val="32"/>
        </w:rPr>
        <w:t>Ự</w:t>
      </w:r>
      <w:r>
        <w:rPr>
          <w:b/>
          <w:color w:val="000000"/>
          <w:sz w:val="32"/>
          <w:szCs w:val="32"/>
        </w:rPr>
        <w:t>NG QU</w:t>
      </w:r>
      <w:r>
        <w:rPr>
          <w:rFonts w:ascii="Calibri" w:hAnsi="Calibri" w:cs="Calibri"/>
          <w:b/>
          <w:color w:val="000000"/>
          <w:sz w:val="32"/>
          <w:szCs w:val="32"/>
        </w:rPr>
        <w:t>Ả</w:t>
      </w:r>
      <w:r>
        <w:rPr>
          <w:b/>
          <w:color w:val="000000"/>
          <w:sz w:val="32"/>
          <w:szCs w:val="32"/>
        </w:rPr>
        <w:t>NG B</w:t>
      </w:r>
      <w:r>
        <w:rPr>
          <w:rFonts w:cs=".VnTime"/>
          <w:b/>
          <w:color w:val="000000"/>
          <w:sz w:val="32"/>
          <w:szCs w:val="32"/>
        </w:rPr>
        <w:t>Ì</w:t>
      </w:r>
      <w:r>
        <w:rPr>
          <w:b/>
          <w:color w:val="000000"/>
          <w:sz w:val="32"/>
          <w:szCs w:val="32"/>
        </w:rPr>
        <w:t>NH</w:t>
      </w: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rPr>
          <w:color w:val="000000"/>
          <w:sz w:val="24"/>
          <w:szCs w:val="24"/>
        </w:rPr>
      </w:pPr>
      <w:r>
        <w:rPr>
          <w:noProof/>
          <w:sz w:val="24"/>
          <w:szCs w:val="24"/>
          <w:lang w:val="vi-VN" w:eastAsia="vi-VN"/>
        </w:rPr>
        <mc:AlternateContent>
          <mc:Choice Requires="wps">
            <w:drawing>
              <wp:anchor distT="0" distB="0" distL="114300" distR="114300" simplePos="0" relativeHeight="251663360" behindDoc="0" locked="0" layoutInCell="1" allowOverlap="1">
                <wp:simplePos x="0" y="0"/>
                <wp:positionH relativeFrom="column">
                  <wp:posOffset>2331720</wp:posOffset>
                </wp:positionH>
                <wp:positionV relativeFrom="paragraph">
                  <wp:posOffset>38100</wp:posOffset>
                </wp:positionV>
                <wp:extent cx="1211580" cy="0"/>
                <wp:effectExtent l="7620"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1DAD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pt" to="2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dV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hO03S2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"/>
            </w:pict>
          </mc:Fallback>
        </mc:AlternateContent>
      </w: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VnTimeH" w:hAnsi=".VnTimeH"/>
          <w:b/>
          <w:color w:val="000000"/>
          <w:sz w:val="48"/>
        </w:rPr>
      </w:pPr>
    </w:p>
    <w:p w:rsidR="006521E2" w:rsidRP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Theme="majorHAnsi" w:hAnsiTheme="majorHAnsi" w:cstheme="majorHAnsi"/>
          <w:b/>
          <w:color w:val="000000"/>
          <w:sz w:val="48"/>
          <w:szCs w:val="48"/>
        </w:rPr>
      </w:pPr>
      <w:r w:rsidRPr="006521E2">
        <w:rPr>
          <w:rFonts w:asciiTheme="majorHAnsi" w:hAnsiTheme="majorHAnsi" w:cstheme="majorHAnsi"/>
          <w:b/>
          <w:color w:val="000000"/>
          <w:sz w:val="48"/>
          <w:szCs w:val="48"/>
        </w:rPr>
        <w:t>CÔNG BỐ</w:t>
      </w:r>
    </w:p>
    <w:p w:rsidR="006521E2" w:rsidRP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Theme="majorHAnsi" w:hAnsiTheme="majorHAnsi" w:cstheme="majorHAnsi"/>
          <w:b/>
          <w:color w:val="000000"/>
          <w:sz w:val="48"/>
          <w:szCs w:val="48"/>
        </w:rPr>
      </w:pPr>
      <w:r w:rsidRPr="006521E2">
        <w:rPr>
          <w:rFonts w:asciiTheme="majorHAnsi" w:hAnsiTheme="majorHAnsi" w:cstheme="majorHAnsi"/>
          <w:b/>
          <w:color w:val="000000"/>
          <w:sz w:val="48"/>
          <w:szCs w:val="48"/>
        </w:rPr>
        <w:t>CHỈ SỐ GIÁ XÂY DỰNG</w:t>
      </w:r>
    </w:p>
    <w:p w:rsidR="006521E2" w:rsidRPr="006521E2" w:rsidRDefault="006521E2" w:rsidP="006521E2">
      <w:pPr>
        <w:pBdr>
          <w:top w:val="thickThinSmallGap" w:sz="12" w:space="1" w:color="auto"/>
          <w:left w:val="thickThinSmallGap" w:sz="12" w:space="4" w:color="auto"/>
          <w:bottom w:val="thickThinSmallGap" w:sz="12" w:space="1" w:color="auto"/>
          <w:right w:val="thickThinSmallGap" w:sz="12" w:space="4" w:color="auto"/>
        </w:pBdr>
        <w:spacing w:before="240"/>
        <w:jc w:val="center"/>
        <w:rPr>
          <w:rFonts w:asciiTheme="majorHAnsi" w:hAnsiTheme="majorHAnsi" w:cstheme="majorHAnsi"/>
          <w:b/>
          <w:color w:val="000000"/>
          <w:sz w:val="32"/>
          <w:szCs w:val="32"/>
        </w:rPr>
      </w:pPr>
      <w:r w:rsidRPr="006521E2">
        <w:rPr>
          <w:rFonts w:asciiTheme="majorHAnsi" w:hAnsiTheme="majorHAnsi" w:cstheme="majorHAnsi"/>
          <w:b/>
          <w:color w:val="000000"/>
          <w:sz w:val="32"/>
          <w:szCs w:val="32"/>
        </w:rPr>
        <w:t>THÁNG 5,6 NĂM 2019 TRÊN ĐỊA BÀN TỈNH QUẢNG BÌNH</w:t>
      </w:r>
    </w:p>
    <w:p w:rsidR="006521E2" w:rsidRP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Theme="majorHAnsi" w:hAnsiTheme="majorHAnsi" w:cstheme="majorHAnsi"/>
          <w:b/>
          <w:color w:val="000000"/>
          <w:sz w:val="28"/>
          <w:szCs w:val="28"/>
        </w:rPr>
      </w:pPr>
      <w:r w:rsidRPr="006521E2">
        <w:rPr>
          <w:rFonts w:asciiTheme="majorHAnsi" w:hAnsiTheme="majorHAnsi" w:cstheme="majorHAnsi"/>
          <w:noProof/>
          <w:sz w:val="24"/>
          <w:szCs w:val="24"/>
          <w:lang w:val="vi-VN" w:eastAsia="vi-VN"/>
        </w:rPr>
        <mc:AlternateContent>
          <mc:Choice Requires="wps">
            <w:drawing>
              <wp:anchor distT="0" distB="0" distL="114300" distR="114300" simplePos="0" relativeHeight="251664384" behindDoc="0" locked="0" layoutInCell="1" allowOverlap="1">
                <wp:simplePos x="0" y="0"/>
                <wp:positionH relativeFrom="column">
                  <wp:posOffset>1893570</wp:posOffset>
                </wp:positionH>
                <wp:positionV relativeFrom="paragraph">
                  <wp:posOffset>22225</wp:posOffset>
                </wp:positionV>
                <wp:extent cx="2106930" cy="0"/>
                <wp:effectExtent l="7620" t="12700" r="952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48E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1.75pt" to="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Ii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6WzxBC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"/>
            </w:pict>
          </mc:Fallback>
        </mc:AlternateContent>
      </w:r>
    </w:p>
    <w:p w:rsidR="006521E2" w:rsidRP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Theme="majorHAnsi" w:hAnsiTheme="majorHAnsi" w:cstheme="majorHAnsi"/>
          <w:b/>
          <w:color w:val="000000"/>
          <w:sz w:val="32"/>
          <w:szCs w:val="32"/>
        </w:rPr>
      </w:pPr>
      <w:r w:rsidRPr="006521E2">
        <w:rPr>
          <w:rFonts w:asciiTheme="majorHAnsi" w:hAnsiTheme="majorHAnsi" w:cstheme="majorHAnsi"/>
          <w:b/>
          <w:color w:val="000000"/>
          <w:sz w:val="32"/>
          <w:szCs w:val="32"/>
        </w:rPr>
        <w:t>(Kèm theo Quyết định số 2436/QĐ-SXD ngày 23/7/2019của Sở Xây dựng Quảng Bình)</w:t>
      </w:r>
    </w:p>
    <w:p w:rsidR="006521E2" w:rsidRP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Theme="majorHAnsi" w:hAnsiTheme="majorHAnsi" w:cstheme="majorHAnsi"/>
          <w:b/>
          <w:color w:val="000000"/>
          <w:sz w:val="44"/>
          <w:szCs w:val="44"/>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VnTimeH" w:hAnsi=".VnTimeH"/>
          <w:color w:val="000000"/>
          <w:sz w:val="32"/>
          <w:szCs w:val="24"/>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Times New Roman" w:hAnsi="Times New Roman"/>
          <w:color w:val="000000"/>
          <w:sz w:val="24"/>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sz w:val="34"/>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sz w:val="24"/>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color w:val="00000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b/>
          <w:color w:val="000000"/>
          <w:sz w:val="2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b/>
          <w:color w:val="000000"/>
          <w:sz w:val="2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b/>
          <w:color w:val="000000"/>
          <w:sz w:val="2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b/>
          <w:color w:val="000000"/>
          <w:sz w:val="20"/>
        </w:rPr>
      </w:pPr>
    </w:p>
    <w:p w:rsid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b/>
          <w:color w:val="000000"/>
          <w:sz w:val="32"/>
          <w:szCs w:val="32"/>
        </w:rPr>
      </w:pPr>
    </w:p>
    <w:p w:rsidR="006521E2" w:rsidRPr="006521E2" w:rsidRDefault="006521E2" w:rsidP="006521E2">
      <w:pPr>
        <w:pBdr>
          <w:top w:val="thickThinSmallGap" w:sz="12" w:space="1" w:color="auto"/>
          <w:left w:val="thickThinSmallGap" w:sz="12" w:space="4" w:color="auto"/>
          <w:bottom w:val="thickThinSmallGap" w:sz="12" w:space="1" w:color="auto"/>
          <w:right w:val="thickThinSmallGap" w:sz="12" w:space="4" w:color="auto"/>
        </w:pBdr>
        <w:jc w:val="center"/>
        <w:rPr>
          <w:rFonts w:asciiTheme="majorHAnsi" w:hAnsiTheme="majorHAnsi" w:cstheme="majorHAnsi"/>
          <w:b/>
          <w:color w:val="000000"/>
          <w:sz w:val="32"/>
          <w:szCs w:val="32"/>
        </w:rPr>
      </w:pPr>
      <w:r w:rsidRPr="006521E2">
        <w:rPr>
          <w:rFonts w:asciiTheme="majorHAnsi" w:hAnsiTheme="majorHAnsi" w:cstheme="majorHAnsi"/>
          <w:b/>
          <w:color w:val="000000"/>
          <w:sz w:val="32"/>
          <w:szCs w:val="32"/>
        </w:rPr>
        <w:t>Quảng Bình, tháng 7 năm 2019</w:t>
      </w:r>
    </w:p>
    <w:p w:rsidR="006521E2" w:rsidRPr="006521E2" w:rsidRDefault="006521E2" w:rsidP="006521E2">
      <w:pPr>
        <w:spacing w:before="60" w:after="60" w:line="264" w:lineRule="auto"/>
        <w:ind w:firstLine="720"/>
        <w:jc w:val="center"/>
        <w:rPr>
          <w:rFonts w:asciiTheme="majorHAnsi" w:hAnsiTheme="majorHAnsi" w:cstheme="majorHAnsi"/>
          <w:b/>
          <w:color w:val="000000"/>
          <w:sz w:val="30"/>
          <w:szCs w:val="28"/>
        </w:rPr>
      </w:pPr>
      <w:r w:rsidRPr="006521E2">
        <w:rPr>
          <w:rFonts w:asciiTheme="majorHAnsi" w:hAnsiTheme="majorHAnsi" w:cstheme="majorHAnsi"/>
          <w:b/>
          <w:color w:val="000000"/>
          <w:sz w:val="30"/>
          <w:szCs w:val="28"/>
        </w:rPr>
        <w:lastRenderedPageBreak/>
        <w:t>CHỈ SỐ GIÁ X</w:t>
      </w:r>
      <w:bookmarkStart w:id="0" w:name="_GoBack"/>
      <w:bookmarkEnd w:id="0"/>
      <w:r w:rsidRPr="006521E2">
        <w:rPr>
          <w:rFonts w:asciiTheme="majorHAnsi" w:hAnsiTheme="majorHAnsi" w:cstheme="majorHAnsi"/>
          <w:b/>
          <w:color w:val="000000"/>
          <w:sz w:val="30"/>
          <w:szCs w:val="28"/>
        </w:rPr>
        <w:t xml:space="preserve">ÂY DỰNG  </w:t>
      </w:r>
    </w:p>
    <w:p w:rsidR="006521E2" w:rsidRPr="006521E2" w:rsidRDefault="006521E2" w:rsidP="006521E2">
      <w:pPr>
        <w:spacing w:before="60" w:after="60" w:line="264" w:lineRule="auto"/>
        <w:jc w:val="center"/>
        <w:rPr>
          <w:rFonts w:asciiTheme="majorHAnsi" w:hAnsiTheme="majorHAnsi" w:cstheme="majorHAnsi"/>
          <w:b/>
          <w:color w:val="000000"/>
          <w:sz w:val="26"/>
          <w:szCs w:val="26"/>
        </w:rPr>
      </w:pPr>
      <w:r w:rsidRPr="006521E2">
        <w:rPr>
          <w:rFonts w:asciiTheme="majorHAnsi" w:hAnsiTheme="majorHAnsi" w:cstheme="majorHAnsi"/>
          <w:b/>
          <w:color w:val="000000"/>
          <w:sz w:val="26"/>
          <w:szCs w:val="26"/>
        </w:rPr>
        <w:t>(Kèm theo Quyết định số 2438/QĐ-SXD ngày 23/7/2019 của Sở Xây dựng Quảng Bình về việc công bố Chỉ số giá xây dựng tháng 5, 6 năm 2019)</w:t>
      </w:r>
    </w:p>
    <w:p w:rsidR="006521E2" w:rsidRPr="006521E2" w:rsidRDefault="006521E2" w:rsidP="006521E2">
      <w:pPr>
        <w:spacing w:before="60" w:after="60" w:line="264" w:lineRule="auto"/>
        <w:ind w:firstLine="720"/>
        <w:rPr>
          <w:rFonts w:asciiTheme="majorHAnsi" w:hAnsiTheme="majorHAnsi" w:cstheme="majorHAnsi"/>
          <w:b/>
          <w:color w:val="000000"/>
          <w:sz w:val="26"/>
          <w:szCs w:val="26"/>
        </w:rPr>
      </w:pPr>
    </w:p>
    <w:p w:rsidR="006521E2" w:rsidRPr="006521E2" w:rsidRDefault="006521E2" w:rsidP="006521E2">
      <w:pPr>
        <w:spacing w:before="60" w:after="60" w:line="360" w:lineRule="exact"/>
        <w:ind w:firstLine="567"/>
        <w:jc w:val="both"/>
        <w:rPr>
          <w:rFonts w:asciiTheme="majorHAnsi" w:hAnsiTheme="majorHAnsi" w:cstheme="majorHAnsi"/>
          <w:b/>
          <w:color w:val="000000"/>
          <w:sz w:val="28"/>
          <w:szCs w:val="28"/>
          <w:lang w:val="pt-BR"/>
        </w:rPr>
      </w:pPr>
      <w:r w:rsidRPr="006521E2">
        <w:rPr>
          <w:rFonts w:asciiTheme="majorHAnsi" w:hAnsiTheme="majorHAnsi" w:cstheme="majorHAnsi"/>
          <w:b/>
          <w:color w:val="000000"/>
          <w:sz w:val="28"/>
          <w:szCs w:val="28"/>
          <w:lang w:val="pt-BR"/>
        </w:rPr>
        <w:t>I. GIỚI THIỆU CHUNG</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1. Chỉ số giá xây dựng là chỉ tiêu phản ánh mức độ biến động của giá xây dựng theo thời gian. Các chỉ số giá t</w:t>
      </w:r>
      <w:r w:rsidRPr="006521E2">
        <w:rPr>
          <w:rFonts w:asciiTheme="majorHAnsi" w:hAnsiTheme="majorHAnsi" w:cstheme="majorHAnsi"/>
          <w:iCs/>
          <w:color w:val="000000"/>
          <w:sz w:val="28"/>
          <w:szCs w:val="28"/>
          <w:lang w:val="pt-BR"/>
        </w:rPr>
        <w:t xml:space="preserve">rong Công bố chỉ số </w:t>
      </w:r>
      <w:r w:rsidRPr="006521E2">
        <w:rPr>
          <w:rFonts w:asciiTheme="majorHAnsi" w:hAnsiTheme="majorHAnsi" w:cstheme="majorHAnsi"/>
          <w:color w:val="000000"/>
          <w:sz w:val="28"/>
          <w:szCs w:val="28"/>
          <w:lang w:val="pt-BR"/>
        </w:rPr>
        <w:t>giá</w:t>
      </w:r>
      <w:r w:rsidRPr="006521E2">
        <w:rPr>
          <w:rFonts w:asciiTheme="majorHAnsi" w:hAnsiTheme="majorHAnsi" w:cstheme="majorHAnsi"/>
          <w:iCs/>
          <w:color w:val="000000"/>
          <w:sz w:val="28"/>
          <w:szCs w:val="28"/>
          <w:lang w:val="pt-BR"/>
        </w:rPr>
        <w:t xml:space="preserve"> xây dựng </w:t>
      </w:r>
      <w:r w:rsidRPr="006521E2">
        <w:rPr>
          <w:rFonts w:asciiTheme="majorHAnsi" w:hAnsiTheme="majorHAnsi" w:cstheme="majorHAnsi"/>
          <w:color w:val="000000"/>
          <w:sz w:val="28"/>
          <w:szCs w:val="28"/>
          <w:lang w:val="pt-BR"/>
        </w:rPr>
        <w:t>được xác định theo nhóm, thuộc 4 loại công trình xây dựng (công trình dân dụng, công trình công nghiệp, công trình giao thông, công trình nông nghiệp và phát triển nông thôn) theo 2 vùng (khu vực) gồm: Thành phố Đồng Hới và các huyện, thị xã trên địa bàn, có các loại chỉ số sau:</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 xml:space="preserve">- Chỉ số giá xây dựng công trình; </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 xml:space="preserve">- Chỉ số giá phần xây dựng; </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 Các chỉ số giá xây dựng theo yếu tố chi phí gồm chỉ số giá vật liệu xây dựng công trình, chỉ số giá nhân công xây dựng công trình và chỉ số giá máy thi công xây dựng công trình;</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 Chỉ số giá vật liệu xây dựng chủ yếu.</w:t>
      </w:r>
    </w:p>
    <w:p w:rsidR="006521E2" w:rsidRPr="006521E2" w:rsidRDefault="006521E2" w:rsidP="006521E2">
      <w:pPr>
        <w:spacing w:before="60" w:after="60" w:line="360" w:lineRule="exact"/>
        <w:ind w:firstLine="567"/>
        <w:jc w:val="both"/>
        <w:rPr>
          <w:rFonts w:asciiTheme="majorHAnsi" w:hAnsiTheme="majorHAnsi" w:cstheme="majorHAnsi"/>
          <w:iCs/>
          <w:color w:val="000000"/>
          <w:sz w:val="28"/>
          <w:szCs w:val="28"/>
          <w:lang w:val="pt-BR"/>
        </w:rPr>
      </w:pPr>
      <w:r w:rsidRPr="006521E2">
        <w:rPr>
          <w:rFonts w:asciiTheme="majorHAnsi" w:hAnsiTheme="majorHAnsi" w:cstheme="majorHAnsi"/>
          <w:iCs/>
          <w:color w:val="000000"/>
          <w:sz w:val="28"/>
          <w:szCs w:val="28"/>
          <w:lang w:val="pt-BR"/>
        </w:rPr>
        <w:t xml:space="preserve"> 2. Các từ ngữ trong Chỉ số </w:t>
      </w:r>
      <w:r w:rsidRPr="006521E2">
        <w:rPr>
          <w:rFonts w:asciiTheme="majorHAnsi" w:hAnsiTheme="majorHAnsi" w:cstheme="majorHAnsi"/>
          <w:color w:val="000000"/>
          <w:sz w:val="28"/>
          <w:szCs w:val="28"/>
          <w:lang w:val="pt-BR"/>
        </w:rPr>
        <w:t>giá</w:t>
      </w:r>
      <w:r w:rsidRPr="006521E2">
        <w:rPr>
          <w:rFonts w:asciiTheme="majorHAnsi" w:hAnsiTheme="majorHAnsi" w:cstheme="majorHAnsi"/>
          <w:iCs/>
          <w:color w:val="000000"/>
          <w:sz w:val="28"/>
          <w:szCs w:val="28"/>
          <w:lang w:val="pt-BR"/>
        </w:rPr>
        <w:t xml:space="preserve"> xây dựng này được hiểu như sau:</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i/>
          <w:color w:val="000000"/>
          <w:sz w:val="28"/>
          <w:szCs w:val="28"/>
          <w:lang w:val="pt-BR"/>
        </w:rPr>
        <w:t>Chỉ số giá xây dựng công trình</w:t>
      </w:r>
      <w:r w:rsidRPr="006521E2">
        <w:rPr>
          <w:rFonts w:asciiTheme="majorHAnsi" w:hAnsiTheme="majorHAnsi" w:cstheme="majorHAnsi"/>
          <w:color w:val="000000"/>
          <w:sz w:val="28"/>
          <w:szCs w:val="28"/>
          <w:lang w:val="pt-BR"/>
        </w:rPr>
        <w:t xml:space="preserve"> là chỉ tiêu phản ánh mức độ biến động của giá xây dựng công trình theo thời gian.</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i/>
          <w:color w:val="000000"/>
          <w:sz w:val="28"/>
          <w:szCs w:val="28"/>
          <w:lang w:val="pt-BR"/>
        </w:rPr>
        <w:t>Chỉ số giá phần xây dựng</w:t>
      </w:r>
      <w:r w:rsidRPr="006521E2">
        <w:rPr>
          <w:rFonts w:asciiTheme="majorHAnsi" w:hAnsiTheme="majorHAnsi" w:cstheme="majorHAnsi"/>
          <w:color w:val="000000"/>
          <w:sz w:val="28"/>
          <w:szCs w:val="28"/>
          <w:lang w:val="pt-BR"/>
        </w:rPr>
        <w:t xml:space="preserve"> là chỉ tiêu phản ánh mức độ biến động của phần chi phí xây dựng của công trình theo thời gian.</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i/>
          <w:color w:val="000000"/>
          <w:sz w:val="28"/>
          <w:szCs w:val="28"/>
          <w:lang w:val="pt-BR"/>
        </w:rPr>
        <w:t>Chỉ số giá vật liệu xây dựng công trình</w:t>
      </w:r>
      <w:r w:rsidRPr="006521E2">
        <w:rPr>
          <w:rFonts w:asciiTheme="majorHAnsi" w:hAnsiTheme="majorHAnsi" w:cstheme="majorHAnsi"/>
          <w:color w:val="000000"/>
          <w:sz w:val="28"/>
          <w:szCs w:val="28"/>
          <w:lang w:val="pt-BR"/>
        </w:rPr>
        <w:t xml:space="preserve"> là chỉ tiêu phản ánh mức độ biến động của phần chi phí vật liệu xây dựng trong dự toán xây dựng công trình theo thời gian.</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i/>
          <w:color w:val="000000"/>
          <w:sz w:val="28"/>
          <w:szCs w:val="28"/>
          <w:lang w:val="pt-BR"/>
        </w:rPr>
        <w:t>Chỉ số giá nhân công xây dựng công trình</w:t>
      </w:r>
      <w:r w:rsidRPr="006521E2">
        <w:rPr>
          <w:rFonts w:asciiTheme="majorHAnsi" w:hAnsiTheme="majorHAnsi" w:cstheme="majorHAnsi"/>
          <w:color w:val="000000"/>
          <w:sz w:val="28"/>
          <w:szCs w:val="28"/>
          <w:lang w:val="pt-BR"/>
        </w:rPr>
        <w:t xml:space="preserve"> là chỉ tiêu phản ánh mức độ biến động của phần chi phí nhân công trong dự toán xây dựng công trình theo thời gian.</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i/>
          <w:color w:val="000000"/>
          <w:sz w:val="28"/>
          <w:szCs w:val="28"/>
          <w:lang w:val="pt-BR"/>
        </w:rPr>
        <w:t xml:space="preserve">Chỉ số giá máy thi công xây dựng công trình </w:t>
      </w:r>
      <w:r w:rsidRPr="006521E2">
        <w:rPr>
          <w:rFonts w:asciiTheme="majorHAnsi" w:hAnsiTheme="majorHAnsi" w:cstheme="majorHAnsi"/>
          <w:color w:val="000000"/>
          <w:sz w:val="28"/>
          <w:szCs w:val="28"/>
          <w:lang w:val="pt-BR"/>
        </w:rPr>
        <w:t xml:space="preserve">là chỉ tiêu phản ánh mức độ biến động của phần chi phí máy thi công xây dựng trong dự toán xây dựng công trình theo thời gian. </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i/>
          <w:color w:val="000000"/>
          <w:sz w:val="28"/>
          <w:szCs w:val="28"/>
          <w:lang w:val="pt-BR"/>
        </w:rPr>
        <w:t>Thời điểm gốc</w:t>
      </w:r>
      <w:r w:rsidRPr="006521E2">
        <w:rPr>
          <w:rFonts w:asciiTheme="majorHAnsi" w:hAnsiTheme="majorHAnsi" w:cstheme="majorHAnsi"/>
          <w:color w:val="000000"/>
          <w:sz w:val="28"/>
          <w:szCs w:val="28"/>
          <w:lang w:val="pt-BR"/>
        </w:rPr>
        <w:t xml:space="preserve"> là thời điểm được lựa chọn làm gốc để so sánh. Các cơ cấu chi phí xây dựng được xác định tại thời điểm này.</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i/>
          <w:color w:val="000000"/>
          <w:sz w:val="28"/>
          <w:szCs w:val="28"/>
          <w:lang w:val="pt-BR"/>
        </w:rPr>
        <w:t>Thời điểm so sánh</w:t>
      </w:r>
      <w:r w:rsidRPr="006521E2">
        <w:rPr>
          <w:rFonts w:asciiTheme="majorHAnsi" w:hAnsiTheme="majorHAnsi" w:cstheme="majorHAnsi"/>
          <w:color w:val="000000"/>
          <w:sz w:val="28"/>
          <w:szCs w:val="28"/>
          <w:lang w:val="pt-BR"/>
        </w:rPr>
        <w:t xml:space="preserve"> là thời điểm cần xác định các chỉ số giá so với thời điểm gốc hoặc so với thời điểm so sánh khác.</w:t>
      </w:r>
    </w:p>
    <w:p w:rsidR="006521E2" w:rsidRPr="006521E2" w:rsidRDefault="006521E2" w:rsidP="006521E2">
      <w:pPr>
        <w:widowControl w:val="0"/>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3. Chỉ số giá xây dựng công trình đã tính toán đến sự biến động của chi phí xây dựng, chi phí thiết bị, chi phí quản lý dự án, chi phí tư vấn đầu tư xây dựng và một số khoản mục chi phí khác của chi phí đầu tư xây dựng công trình.</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lastRenderedPageBreak/>
        <w:t xml:space="preserve">Các chỉ số giá xây dựng công trình này chưa xét đến sự biến động của </w:t>
      </w:r>
      <w:r w:rsidRPr="006521E2">
        <w:rPr>
          <w:rFonts w:asciiTheme="majorHAnsi" w:hAnsiTheme="majorHAnsi" w:cstheme="majorHAnsi"/>
          <w:color w:val="000000"/>
          <w:sz w:val="28"/>
          <w:szCs w:val="28"/>
          <w:lang w:val="vi-VN"/>
        </w:rPr>
        <w:t xml:space="preserve">chi phí </w:t>
      </w:r>
      <w:r w:rsidRPr="006521E2">
        <w:rPr>
          <w:rFonts w:asciiTheme="majorHAnsi" w:hAnsiTheme="majorHAnsi" w:cstheme="majorHAnsi"/>
          <w:color w:val="000000"/>
          <w:sz w:val="28"/>
          <w:szCs w:val="28"/>
          <w:lang w:val="pt-BR"/>
        </w:rPr>
        <w:t xml:space="preserve">bồi thường </w:t>
      </w:r>
      <w:r w:rsidRPr="006521E2">
        <w:rPr>
          <w:rFonts w:asciiTheme="majorHAnsi" w:hAnsiTheme="majorHAnsi" w:cstheme="majorHAnsi"/>
          <w:color w:val="000000"/>
          <w:sz w:val="28"/>
          <w:szCs w:val="28"/>
          <w:lang w:val="vi-VN"/>
        </w:rPr>
        <w:t>giải phóng mặt bằng, tái định cư</w:t>
      </w:r>
      <w:r w:rsidRPr="006521E2">
        <w:rPr>
          <w:rFonts w:asciiTheme="majorHAnsi" w:hAnsiTheme="majorHAnsi" w:cstheme="majorHAnsi"/>
          <w:color w:val="000000"/>
          <w:sz w:val="28"/>
          <w:szCs w:val="28"/>
          <w:lang w:val="pt-BR"/>
        </w:rPr>
        <w:t xml:space="preserve"> (nếu có), chi phí lập báo cáo đánh giá tác động môi trường và bảo vệ môi trường (nếu có), chi phí thuê tư vấn nước ngoài (nếu có), chi phí rà phá bom mìn và vật nổ, lãi vay trong thời gian xây dựng (đối với các dự án có sử dụng vốn vay, vốn vay lưu động trong thời gian sản xuất thử (đối với các dự án sản xuất, kinh doanh)... </w:t>
      </w:r>
    </w:p>
    <w:p w:rsidR="006521E2" w:rsidRPr="006521E2" w:rsidRDefault="006521E2" w:rsidP="006521E2">
      <w:pPr>
        <w:pStyle w:val="BodyTextIndent"/>
        <w:spacing w:before="60" w:after="60" w:line="360" w:lineRule="exact"/>
        <w:ind w:firstLine="567"/>
        <w:rPr>
          <w:rFonts w:asciiTheme="majorHAnsi" w:hAnsiTheme="majorHAnsi" w:cstheme="majorHAnsi"/>
          <w:b w:val="0"/>
          <w:i w:val="0"/>
          <w:color w:val="000000"/>
          <w:lang w:val="pt-BR"/>
        </w:rPr>
      </w:pPr>
      <w:r w:rsidRPr="006521E2">
        <w:rPr>
          <w:rFonts w:asciiTheme="majorHAnsi" w:hAnsiTheme="majorHAnsi" w:cstheme="majorHAnsi"/>
          <w:b w:val="0"/>
          <w:i w:val="0"/>
          <w:color w:val="000000"/>
          <w:lang w:val="pt-BR"/>
        </w:rPr>
        <w:t xml:space="preserve">Khi sử dụng các chỉ số giá xây dựng công trình làm cơ sở để xác định tổng mức đầu tư thì cần căn cứ vào tính chất, đặc điểm và yêu cầu cụ thể của dự án để tính bổ sung các khoản mục chi phí này cho phù hợp.  </w:t>
      </w:r>
    </w:p>
    <w:p w:rsidR="006521E2" w:rsidRPr="006521E2" w:rsidRDefault="006521E2" w:rsidP="006521E2">
      <w:pPr>
        <w:pStyle w:val="BodyTextIndent"/>
        <w:spacing w:before="60" w:after="60" w:line="360" w:lineRule="exact"/>
        <w:ind w:firstLine="567"/>
        <w:rPr>
          <w:rFonts w:asciiTheme="majorHAnsi" w:hAnsiTheme="majorHAnsi" w:cstheme="majorHAnsi"/>
          <w:b w:val="0"/>
          <w:i w:val="0"/>
          <w:color w:val="000000"/>
          <w:lang w:val="pt-BR"/>
        </w:rPr>
      </w:pPr>
      <w:r w:rsidRPr="006521E2">
        <w:rPr>
          <w:rFonts w:asciiTheme="majorHAnsi" w:hAnsiTheme="majorHAnsi" w:cstheme="majorHAnsi"/>
          <w:b w:val="0"/>
          <w:i w:val="0"/>
          <w:color w:val="000000"/>
          <w:lang w:val="pt-BR"/>
        </w:rPr>
        <w:t xml:space="preserve">Chỉ số giá phần xây dựng của công trình đã tính đến sự biến động của chi phí trực tiếp (chi phí vật liệu, nhân công và chi phí máy thi công xây dựng) và các khoản mục chi phí còn lại trong chi phí xây dựng (chi phí chung, thu nhập chịu thuế tính trước, thuế giá trị gia tăng). </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Trường hợp những công trình có xử lý nền móng đặc biệt, hoặc có kết cấu đặc biệt thì khi vận dụng chỉ số giá phần xây dựng vào việc tính toán cần có sự điều chỉnh bổ sung cho phù hợp.</w:t>
      </w:r>
    </w:p>
    <w:p w:rsidR="006521E2" w:rsidRPr="006521E2" w:rsidRDefault="006521E2" w:rsidP="006521E2">
      <w:pPr>
        <w:pStyle w:val="BodyTextIndent"/>
        <w:spacing w:before="60" w:after="60" w:line="360" w:lineRule="exact"/>
        <w:ind w:firstLine="567"/>
        <w:rPr>
          <w:rFonts w:asciiTheme="majorHAnsi" w:hAnsiTheme="majorHAnsi" w:cstheme="majorHAnsi"/>
          <w:lang w:val="pt-BR"/>
        </w:rPr>
      </w:pPr>
      <w:r w:rsidRPr="006521E2">
        <w:rPr>
          <w:rFonts w:asciiTheme="majorHAnsi" w:hAnsiTheme="majorHAnsi" w:cstheme="majorHAnsi"/>
          <w:b w:val="0"/>
          <w:i w:val="0"/>
          <w:color w:val="000000"/>
          <w:lang w:val="pt-BR"/>
        </w:rPr>
        <w:t>Chỉ số giá vật liệu xây dựng công trình, chỉ số giá nhân công xây dựng công trình và chỉ số giá máy thi công xây dựng công trình đã tính đến sự biến động chi phí vật liệu xây dựng, chi phí nhân công xây dựng và chi phí máy thi công xây dựng trong chi phí trực tiếp.</w:t>
      </w:r>
      <w:r w:rsidRPr="006521E2">
        <w:rPr>
          <w:rFonts w:asciiTheme="majorHAnsi" w:hAnsiTheme="majorHAnsi" w:cstheme="majorHAnsi"/>
          <w:lang w:val="pt-BR"/>
        </w:rPr>
        <w:t xml:space="preserve"> </w:t>
      </w:r>
    </w:p>
    <w:p w:rsidR="006521E2" w:rsidRPr="006521E2" w:rsidRDefault="006521E2" w:rsidP="006521E2">
      <w:pPr>
        <w:spacing w:before="60" w:after="60" w:line="360" w:lineRule="exact"/>
        <w:ind w:firstLine="567"/>
        <w:jc w:val="both"/>
        <w:rPr>
          <w:rFonts w:asciiTheme="majorHAnsi" w:hAnsiTheme="majorHAnsi" w:cstheme="majorHAnsi"/>
          <w:sz w:val="28"/>
          <w:szCs w:val="28"/>
          <w:lang w:val="pt-BR"/>
        </w:rPr>
      </w:pPr>
      <w:r w:rsidRPr="006521E2">
        <w:rPr>
          <w:rFonts w:asciiTheme="majorHAnsi" w:hAnsiTheme="majorHAnsi" w:cstheme="majorHAnsi"/>
          <w:sz w:val="28"/>
          <w:szCs w:val="28"/>
          <w:lang w:val="pt-BR"/>
        </w:rPr>
        <w:t>Chỉ số giá của một số loại vật liệu xây dựng chủ yếu phản ánh mức biến động giá vật liệu xây dựng chủ yếu bình quân của t</w:t>
      </w:r>
      <w:r w:rsidRPr="006521E2">
        <w:rPr>
          <w:rFonts w:asciiTheme="majorHAnsi" w:hAnsiTheme="majorHAnsi" w:cstheme="majorHAnsi"/>
          <w:color w:val="FF0000"/>
          <w:sz w:val="28"/>
          <w:szCs w:val="28"/>
          <w:lang w:val="pt-BR"/>
        </w:rPr>
        <w:t>háng 5, 6</w:t>
      </w:r>
      <w:r w:rsidRPr="006521E2">
        <w:rPr>
          <w:rFonts w:asciiTheme="majorHAnsi" w:hAnsiTheme="majorHAnsi" w:cstheme="majorHAnsi"/>
          <w:sz w:val="28"/>
          <w:szCs w:val="28"/>
          <w:lang w:val="pt-BR"/>
        </w:rPr>
        <w:t xml:space="preserve"> năm 2019 so với giá vật liệu xây dựng chủ yếu bình quân năm 2016.</w:t>
      </w:r>
    </w:p>
    <w:p w:rsidR="006521E2" w:rsidRPr="006521E2" w:rsidRDefault="006521E2" w:rsidP="006521E2">
      <w:pPr>
        <w:spacing w:before="60" w:after="60" w:line="360" w:lineRule="exact"/>
        <w:ind w:firstLine="567"/>
        <w:jc w:val="both"/>
        <w:rPr>
          <w:rFonts w:asciiTheme="majorHAnsi" w:hAnsiTheme="majorHAnsi" w:cstheme="majorHAnsi"/>
          <w:sz w:val="28"/>
          <w:szCs w:val="28"/>
          <w:lang w:val="pt-BR"/>
        </w:rPr>
      </w:pPr>
      <w:r w:rsidRPr="006521E2">
        <w:rPr>
          <w:rFonts w:asciiTheme="majorHAnsi" w:hAnsiTheme="majorHAnsi" w:cstheme="majorHAnsi"/>
          <w:sz w:val="28"/>
          <w:szCs w:val="28"/>
          <w:lang w:val="pt-BR"/>
        </w:rPr>
        <w:t xml:space="preserve"> 4. Chỉ số giá xây dựng </w:t>
      </w:r>
      <w:r w:rsidRPr="006521E2">
        <w:rPr>
          <w:rFonts w:asciiTheme="majorHAnsi" w:hAnsiTheme="majorHAnsi" w:cstheme="majorHAnsi"/>
          <w:color w:val="FF0000"/>
          <w:sz w:val="28"/>
          <w:szCs w:val="28"/>
          <w:lang w:val="pt-BR"/>
        </w:rPr>
        <w:t>tháng 5, 6</w:t>
      </w:r>
      <w:r w:rsidRPr="006521E2">
        <w:rPr>
          <w:rFonts w:asciiTheme="majorHAnsi" w:hAnsiTheme="majorHAnsi" w:cstheme="majorHAnsi"/>
          <w:sz w:val="28"/>
          <w:szCs w:val="28"/>
          <w:lang w:val="pt-BR"/>
        </w:rPr>
        <w:t xml:space="preserve"> năm 2019 được tính chi phí nhân công theo quy định tại Công văn số 777/UBND-XDCB ngày 23/5/2016 của UBND tỉnh Quảng Bình về việc công bố mức lương cơ sở đầu vào để xác định đơn giá nhân công theo </w:t>
      </w:r>
      <w:r w:rsidRPr="006521E2">
        <w:rPr>
          <w:rFonts w:asciiTheme="majorHAnsi" w:hAnsiTheme="majorHAnsi" w:cstheme="majorHAnsi"/>
          <w:sz w:val="28"/>
          <w:szCs w:val="28"/>
          <w:lang w:val="es-ES"/>
        </w:rPr>
        <w:t xml:space="preserve">Thông tư </w:t>
      </w:r>
      <w:r w:rsidRPr="006521E2">
        <w:rPr>
          <w:rFonts w:asciiTheme="majorHAnsi" w:hAnsiTheme="majorHAnsi" w:cstheme="majorHAnsi"/>
          <w:color w:val="000000"/>
          <w:sz w:val="28"/>
          <w:szCs w:val="28"/>
          <w:lang w:val="es-ES"/>
        </w:rPr>
        <w:t>số 05/2016/TT-BXD ngày 10/3/2016 của Bộ Xây dựng hướng dẫn xác định đơn giá nhân công trong quản lý chi phí đầu tư xây dựng</w:t>
      </w:r>
      <w:r w:rsidRPr="006521E2">
        <w:rPr>
          <w:rFonts w:asciiTheme="majorHAnsi" w:hAnsiTheme="majorHAnsi" w:cstheme="majorHAnsi"/>
          <w:sz w:val="28"/>
          <w:szCs w:val="28"/>
          <w:lang w:val="pt-BR"/>
        </w:rPr>
        <w:t xml:space="preserve">; Giá ca máy theo Quyết định số 2112/QĐ-UBND ngày 15/6/2017 của UBND tỉnh Quảng Bình về việc Công bố Bảng giá ca máy và thiết bị thi công tỉnh Quảng Bình; Chi phí vận chuyển vật liệu tính theo Quyết định số 06/2016/QĐ-UBND ngày 29/4/2016 của UBND tỉnh ban hành Quy định cước vận tải hàng hóa bằng phương tiện ô tô áp dụng trên địa bàn tỉnh, các chi phí khác trong dự toán xây dựng công trình theo mặt bằng giá xây dựng tại </w:t>
      </w:r>
      <w:r w:rsidRPr="006521E2">
        <w:rPr>
          <w:rFonts w:asciiTheme="majorHAnsi" w:hAnsiTheme="majorHAnsi" w:cstheme="majorHAnsi"/>
          <w:color w:val="FF0000"/>
          <w:sz w:val="28"/>
          <w:szCs w:val="28"/>
          <w:lang w:val="pt-BR"/>
        </w:rPr>
        <w:t>tháng 5, 6</w:t>
      </w:r>
      <w:r w:rsidRPr="006521E2">
        <w:rPr>
          <w:rFonts w:asciiTheme="majorHAnsi" w:hAnsiTheme="majorHAnsi" w:cstheme="majorHAnsi"/>
          <w:sz w:val="28"/>
          <w:szCs w:val="28"/>
          <w:lang w:val="pt-BR"/>
        </w:rPr>
        <w:t xml:space="preserve"> năm 2019.</w:t>
      </w:r>
    </w:p>
    <w:p w:rsidR="006521E2" w:rsidRPr="006521E2" w:rsidRDefault="006521E2" w:rsidP="006521E2">
      <w:pPr>
        <w:widowControl w:val="0"/>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5. Các chỉ số giá xây dựng nêu tại Công bố chỉ số giá xây dựng này được xác định theo phương pháp thống kê, tính toán từ các số liệu thực tế thu thập của các dự án đầu tư xây dựng công trình đã xây dựng trên địa bàn tỉnh. Các công trình lựa chọn để tính toán là các công trình xây dựng mới, có tính năng phục vụ phù hợp với phân loại công trình, được xây dựng theo quy trình công nghệ thi công phổ biến, sử dụng các loại vật liệu xây dựng thông dụng hiện có trên thị trường.</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lastRenderedPageBreak/>
        <w:t>Các chỉ số giá xây dựng này được xác định trên cơ sở cơ cấu tỷ trọng các khoản mục chi phí xây dựng của công trình tại thời điểm năm 2016 (gọi tắt là cơ cấu chi phí năm 2016). Giá xây dựng công trình tính tại năm 2016 được lấy làm gốc (được quy định là 100%) và giá của các thời kỳ khác được biểu thị bằng tỷ lệ phần trăm so với giá thời kỳ gốc.</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6. Việc xác định mức độ trượt giá bình quân ( I</w:t>
      </w:r>
      <w:r w:rsidRPr="006521E2">
        <w:rPr>
          <w:rFonts w:asciiTheme="majorHAnsi" w:hAnsiTheme="majorHAnsi" w:cstheme="majorHAnsi"/>
          <w:color w:val="000000"/>
          <w:sz w:val="28"/>
          <w:szCs w:val="28"/>
          <w:vertAlign w:val="subscript"/>
          <w:lang w:val="pt-BR"/>
        </w:rPr>
        <w:t>XDCTbq</w:t>
      </w:r>
      <w:r w:rsidRPr="006521E2">
        <w:rPr>
          <w:rFonts w:asciiTheme="majorHAnsi" w:hAnsiTheme="majorHAnsi" w:cstheme="majorHAnsi"/>
          <w:color w:val="000000"/>
          <w:sz w:val="28"/>
          <w:szCs w:val="28"/>
          <w:lang w:val="pt-BR"/>
        </w:rPr>
        <w:t>) để tính toán chi phí dự phòng trong tổng mức đầu tư hay dự toán của công trình được thực hiện bằng cách tính bình quân các chỉ số giá xây dựng liên hoàn theo loại công trình của tối thiểu 3 thời kỳ gần nhất so với thời điểm tính toán.</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Các chỉ số giá xây dựng liên hoàn là chỉ số giá xây dựng được tính bằng cách lấy chỉ số giá xây dựng của thời kỳ sau chia cho chỉ số giá xây dựng của thời kỳ trước.</w:t>
      </w:r>
    </w:p>
    <w:p w:rsidR="006521E2" w:rsidRPr="006521E2" w:rsidRDefault="006521E2" w:rsidP="006521E2">
      <w:pPr>
        <w:spacing w:before="60" w:after="60" w:line="360" w:lineRule="exact"/>
        <w:ind w:firstLine="567"/>
        <w:jc w:val="both"/>
        <w:rPr>
          <w:rFonts w:asciiTheme="majorHAnsi" w:hAnsiTheme="majorHAnsi" w:cstheme="majorHAnsi"/>
          <w:color w:val="000000"/>
          <w:sz w:val="28"/>
          <w:szCs w:val="28"/>
          <w:lang w:val="pt-BR"/>
        </w:rPr>
      </w:pPr>
      <w:r w:rsidRPr="006521E2">
        <w:rPr>
          <w:rFonts w:asciiTheme="majorHAnsi" w:hAnsiTheme="majorHAnsi" w:cstheme="majorHAnsi"/>
          <w:color w:val="000000"/>
          <w:sz w:val="28"/>
          <w:szCs w:val="28"/>
          <w:lang w:val="pt-BR"/>
        </w:rPr>
        <w:t>7. Trong quá trình thực hiện nếu có vướng mắc, đề nghị tổ chức, cá nhân gửi ý kiến về Sở Xây dựng để xem xét, giải quyết.</w:t>
      </w:r>
    </w:p>
    <w:p w:rsidR="006521E2" w:rsidRPr="006521E2" w:rsidRDefault="006521E2" w:rsidP="006521E2">
      <w:pPr>
        <w:spacing w:before="60" w:after="60" w:line="360" w:lineRule="exact"/>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rsidP="006521E2">
      <w:pPr>
        <w:spacing w:line="312" w:lineRule="auto"/>
        <w:jc w:val="both"/>
        <w:rPr>
          <w:rFonts w:asciiTheme="majorHAnsi" w:hAnsiTheme="majorHAnsi" w:cstheme="majorHAnsi"/>
          <w:color w:val="000000"/>
          <w:sz w:val="26"/>
          <w:szCs w:val="26"/>
          <w:lang w:val="pt-BR"/>
        </w:rPr>
      </w:pPr>
    </w:p>
    <w:p w:rsidR="006521E2" w:rsidRPr="006521E2" w:rsidRDefault="006521E2">
      <w:pPr>
        <w:rPr>
          <w:rFonts w:asciiTheme="majorHAnsi" w:hAnsiTheme="majorHAnsi" w:cstheme="majorHAnsi"/>
        </w:rPr>
      </w:pPr>
    </w:p>
    <w:sectPr w:rsidR="006521E2" w:rsidRPr="006521E2" w:rsidSect="00E338FD">
      <w:footerReference w:type="default" r:id="rId4"/>
      <w:pgSz w:w="11907" w:h="16840" w:code="9"/>
      <w:pgMar w:top="680"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03" w:rsidRDefault="006521E2">
    <w:pPr>
      <w:pStyle w:val="Footer"/>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E2"/>
    <w:rsid w:val="006521E2"/>
    <w:rsid w:val="00F852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8CF0C3"/>
  <w15:chartTrackingRefBased/>
  <w15:docId w15:val="{C68CEEBD-4E7B-4ED8-A601-030ABCC4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1E2"/>
    <w:pPr>
      <w:spacing w:after="0" w:line="240" w:lineRule="auto"/>
    </w:pPr>
    <w:rPr>
      <w:rFonts w:ascii=".VnTime" w:eastAsia="Times New Roman" w:hAnsi=".VnTime" w:cs="Times New Roman"/>
      <w:sz w:val="27"/>
      <w:szCs w:val="20"/>
      <w:lang w:val="en-US"/>
    </w:rPr>
  </w:style>
  <w:style w:type="paragraph" w:styleId="Heading8">
    <w:name w:val="heading 8"/>
    <w:basedOn w:val="Normal"/>
    <w:next w:val="Normal"/>
    <w:link w:val="Heading8Char"/>
    <w:qFormat/>
    <w:rsid w:val="006521E2"/>
    <w:pPr>
      <w:keepNext/>
      <w:jc w:val="center"/>
      <w:outlineLvl w:val="7"/>
    </w:pPr>
    <w:rPr>
      <w:rFonts w:ascii=".VnTimeH" w:hAnsi=".VnTimeH"/>
      <w:b/>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521E2"/>
    <w:rPr>
      <w:rFonts w:ascii=".VnTimeH" w:eastAsia="Times New Roman" w:hAnsi=".VnTimeH" w:cs="Times New Roman"/>
      <w:b/>
      <w:color w:val="FFFFFF"/>
      <w:sz w:val="32"/>
      <w:szCs w:val="20"/>
      <w:lang w:val="en-US"/>
    </w:rPr>
  </w:style>
  <w:style w:type="paragraph" w:styleId="Footer">
    <w:name w:val="footer"/>
    <w:basedOn w:val="Normal"/>
    <w:link w:val="FooterChar"/>
    <w:rsid w:val="006521E2"/>
    <w:pPr>
      <w:tabs>
        <w:tab w:val="center" w:pos="4320"/>
        <w:tab w:val="right" w:pos="8640"/>
      </w:tabs>
    </w:pPr>
  </w:style>
  <w:style w:type="character" w:customStyle="1" w:styleId="FooterChar">
    <w:name w:val="Footer Char"/>
    <w:basedOn w:val="DefaultParagraphFont"/>
    <w:link w:val="Footer"/>
    <w:rsid w:val="006521E2"/>
    <w:rPr>
      <w:rFonts w:ascii=".VnTime" w:eastAsia="Times New Roman" w:hAnsi=".VnTime" w:cs="Times New Roman"/>
      <w:sz w:val="27"/>
      <w:szCs w:val="20"/>
      <w:lang w:val="en-US"/>
    </w:rPr>
  </w:style>
  <w:style w:type="paragraph" w:styleId="BodyTextIndent">
    <w:name w:val="Body Text Indent"/>
    <w:basedOn w:val="Normal"/>
    <w:link w:val="BodyTextIndentChar"/>
    <w:semiHidden/>
    <w:unhideWhenUsed/>
    <w:rsid w:val="006521E2"/>
    <w:pPr>
      <w:ind w:firstLine="709"/>
      <w:jc w:val="both"/>
    </w:pPr>
    <w:rPr>
      <w:b/>
      <w:bCs/>
      <w:i/>
      <w:iCs/>
      <w:sz w:val="28"/>
      <w:szCs w:val="28"/>
    </w:rPr>
  </w:style>
  <w:style w:type="character" w:customStyle="1" w:styleId="BodyTextIndentChar">
    <w:name w:val="Body Text Indent Char"/>
    <w:basedOn w:val="DefaultParagraphFont"/>
    <w:link w:val="BodyTextIndent"/>
    <w:semiHidden/>
    <w:rsid w:val="006521E2"/>
    <w:rPr>
      <w:rFonts w:ascii=".VnTime" w:eastAsia="Times New Roman" w:hAnsi=".VnTime"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2019-11-27T08:51:00Z</dcterms:created>
  <dcterms:modified xsi:type="dcterms:W3CDTF">2019-11-27T08:59:00Z</dcterms:modified>
</cp:coreProperties>
</file>